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28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69"/>
        <w:gridCol w:w="4709"/>
        <w:gridCol w:w="927"/>
        <w:gridCol w:w="1045"/>
        <w:gridCol w:w="19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1" w:hRule="atLeast"/>
        </w:trPr>
        <w:tc>
          <w:tcPr>
            <w:tcW w:w="669" w:type="dxa"/>
            <w:vAlign w:val="center"/>
          </w:tcPr>
          <w:p>
            <w:pPr>
              <w:jc w:val="center"/>
            </w:pPr>
            <w:r>
              <w:t>序号</w:t>
            </w:r>
          </w:p>
        </w:tc>
        <w:tc>
          <w:tcPr>
            <w:tcW w:w="4709" w:type="dxa"/>
            <w:vAlign w:val="center"/>
          </w:tcPr>
          <w:p>
            <w:pPr>
              <w:jc w:val="center"/>
            </w:pPr>
            <w:r>
              <w:t>标的名称</w:t>
            </w:r>
          </w:p>
        </w:tc>
        <w:tc>
          <w:tcPr>
            <w:tcW w:w="927" w:type="dxa"/>
            <w:vAlign w:val="center"/>
          </w:tcPr>
          <w:p>
            <w:pPr>
              <w:jc w:val="center"/>
            </w:pPr>
            <w:r>
              <w:t>单位</w:t>
            </w:r>
          </w:p>
        </w:tc>
        <w:tc>
          <w:tcPr>
            <w:tcW w:w="1045" w:type="dxa"/>
            <w:vAlign w:val="center"/>
          </w:tcPr>
          <w:p>
            <w:pPr>
              <w:jc w:val="center"/>
            </w:pPr>
            <w:r>
              <w:t>数量</w:t>
            </w:r>
          </w:p>
        </w:tc>
        <w:tc>
          <w:tcPr>
            <w:tcW w:w="1933" w:type="dxa"/>
            <w:vAlign w:val="center"/>
          </w:tcPr>
          <w:p>
            <w:pPr>
              <w:jc w:val="center"/>
              <w:rPr>
                <w:rFonts w:hint="default" w:eastAsia="宋体"/>
                <w:lang w:val="en-US" w:eastAsia="zh-CN"/>
              </w:rPr>
            </w:pPr>
            <w:r>
              <w:rPr>
                <w:rFonts w:hint="eastAsia"/>
                <w:lang w:val="en-US" w:eastAsia="zh-CN"/>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7" w:hRule="atLeast"/>
        </w:trPr>
        <w:tc>
          <w:tcPr>
            <w:tcW w:w="669" w:type="dxa"/>
            <w:vAlign w:val="center"/>
          </w:tcPr>
          <w:p>
            <w:pPr>
              <w:jc w:val="center"/>
            </w:pPr>
            <w:r>
              <w:t>1</w:t>
            </w:r>
          </w:p>
        </w:tc>
        <w:tc>
          <w:tcPr>
            <w:tcW w:w="4709" w:type="dxa"/>
            <w:vAlign w:val="center"/>
          </w:tcPr>
          <w:p>
            <w:pPr>
              <w:jc w:val="center"/>
            </w:pPr>
            <w:r>
              <w:rPr>
                <w:rFonts w:hint="eastAsia"/>
              </w:rPr>
              <w:t>超高效液相色谱三重串联四极杆质谱联用系统</w:t>
            </w:r>
          </w:p>
        </w:tc>
        <w:tc>
          <w:tcPr>
            <w:tcW w:w="927" w:type="dxa"/>
            <w:vAlign w:val="center"/>
          </w:tcPr>
          <w:p>
            <w:pPr>
              <w:jc w:val="center"/>
            </w:pPr>
            <w:r>
              <w:rPr>
                <w:rFonts w:hint="eastAsia"/>
              </w:rPr>
              <w:t>套</w:t>
            </w:r>
          </w:p>
        </w:tc>
        <w:tc>
          <w:tcPr>
            <w:tcW w:w="1045" w:type="dxa"/>
            <w:vAlign w:val="center"/>
          </w:tcPr>
          <w:p>
            <w:pPr>
              <w:jc w:val="center"/>
            </w:pPr>
            <w:r>
              <w:rPr>
                <w:rFonts w:hint="eastAsia"/>
              </w:rPr>
              <w:t>1</w:t>
            </w:r>
            <w:r>
              <w:t>.00</w:t>
            </w:r>
          </w:p>
        </w:tc>
        <w:tc>
          <w:tcPr>
            <w:tcW w:w="1933" w:type="dxa"/>
            <w:vAlign w:val="center"/>
          </w:tcPr>
          <w:p>
            <w:pPr>
              <w:jc w:val="center"/>
              <w:rPr>
                <w:rFonts w:hint="eastAsia" w:ascii="Times New Roman" w:hAnsi="Times New Roman" w:eastAsia="宋体" w:cs="Times New Roman"/>
              </w:rPr>
            </w:pPr>
            <w:r>
              <w:rPr>
                <w:rFonts w:ascii="Times New Roman" w:hAnsi="Times New Roman" w:eastAsia="宋体" w:cs="Times New Roman"/>
              </w:rPr>
              <w:t>是</w:t>
            </w:r>
          </w:p>
        </w:tc>
      </w:tr>
    </w:tbl>
    <w:p>
      <w:pPr>
        <w:rPr>
          <w:b/>
        </w:rPr>
      </w:pPr>
    </w:p>
    <w:p>
      <w:r>
        <w:rPr>
          <w:b/>
        </w:rPr>
        <w:t>附表一：</w:t>
      </w:r>
      <w:r>
        <w:rPr>
          <w:rFonts w:hint="eastAsia"/>
          <w:b/>
        </w:rPr>
        <w:t>超高效液相色谱三重串联四极杆质谱联用系统</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26"/>
        <w:gridCol w:w="709"/>
        <w:gridCol w:w="608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r>
              <w:t>参数性质</w:t>
            </w:r>
          </w:p>
        </w:tc>
        <w:tc>
          <w:tcPr>
            <w:tcW w:w="709" w:type="dxa"/>
          </w:tcPr>
          <w:p>
            <w:r>
              <w:t>序号</w:t>
            </w:r>
          </w:p>
        </w:tc>
        <w:tc>
          <w:tcPr>
            <w:tcW w:w="6081" w:type="dxa"/>
          </w:tcPr>
          <w:p>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tc>
        <w:tc>
          <w:tcPr>
            <w:tcW w:w="709" w:type="dxa"/>
          </w:tcPr>
          <w:p>
            <w:r>
              <w:t>1</w:t>
            </w:r>
          </w:p>
        </w:tc>
        <w:tc>
          <w:tcPr>
            <w:tcW w:w="6081" w:type="dxa"/>
          </w:tcPr>
          <w:p>
            <w:pPr>
              <w:rPr>
                <w:rFonts w:hint="eastAsia"/>
                <w:b/>
              </w:rPr>
            </w:pPr>
            <w:r>
              <w:rPr>
                <w:rFonts w:hint="eastAsia"/>
                <w:b/>
              </w:rPr>
              <w:t>1.用途说明</w:t>
            </w:r>
          </w:p>
          <w:p>
            <w:r>
              <w:rPr>
                <w:rFonts w:hint="eastAsia"/>
              </w:rPr>
              <w:t>用于环境样品中有机污染物的定性、定量分析，可分析的物质如全氟化合物、酚类、抗生素、农药残留或其他非法添加物和违禁添加药物分析。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tc>
        <w:tc>
          <w:tcPr>
            <w:tcW w:w="709" w:type="dxa"/>
          </w:tcPr>
          <w:p>
            <w:r>
              <w:t>2</w:t>
            </w:r>
          </w:p>
        </w:tc>
        <w:tc>
          <w:tcPr>
            <w:tcW w:w="6081" w:type="dxa"/>
          </w:tcPr>
          <w:p>
            <w:pPr>
              <w:rPr>
                <w:rFonts w:hint="eastAsia"/>
                <w:b/>
              </w:rPr>
            </w:pPr>
            <w:r>
              <w:rPr>
                <w:rFonts w:hint="eastAsia"/>
                <w:b/>
              </w:rPr>
              <w:t>2.工作环境条件</w:t>
            </w:r>
          </w:p>
          <w:p>
            <w:pPr>
              <w:rPr>
                <w:rFonts w:hint="eastAsia"/>
              </w:rPr>
            </w:pPr>
            <w:r>
              <w:rPr>
                <w:rFonts w:hint="eastAsia"/>
              </w:rPr>
              <w:t>2.1电源电压：220 V±10%；</w:t>
            </w:r>
          </w:p>
          <w:p>
            <w:pPr>
              <w:rPr>
                <w:rFonts w:hint="eastAsia"/>
              </w:rPr>
            </w:pPr>
            <w:r>
              <w:rPr>
                <w:rFonts w:hint="eastAsia"/>
              </w:rPr>
              <w:t>2.2温度：18℃-28℃；</w:t>
            </w:r>
          </w:p>
          <w:p>
            <w:r>
              <w:rPr>
                <w:rFonts w:hint="eastAsia"/>
              </w:rPr>
              <w:t>2.3湿度：30%-80%。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tc>
        <w:tc>
          <w:tcPr>
            <w:tcW w:w="709" w:type="dxa"/>
          </w:tcPr>
          <w:p>
            <w:r>
              <w:rPr>
                <w:rFonts w:hint="eastAsia"/>
              </w:rPr>
              <w:t>3</w:t>
            </w:r>
          </w:p>
        </w:tc>
        <w:tc>
          <w:tcPr>
            <w:tcW w:w="6081" w:type="dxa"/>
          </w:tcPr>
          <w:p>
            <w:pPr>
              <w:rPr>
                <w:rFonts w:hint="eastAsia"/>
                <w:b/>
              </w:rPr>
            </w:pPr>
            <w:r>
              <w:rPr>
                <w:rFonts w:hint="eastAsia"/>
                <w:b/>
              </w:rPr>
              <w:t>3.主要技术和性能规格要求</w:t>
            </w:r>
          </w:p>
          <w:p>
            <w:pPr>
              <w:rPr>
                <w:rFonts w:hint="eastAsia"/>
              </w:rPr>
            </w:pPr>
            <w:r>
              <w:rPr>
                <w:rFonts w:hint="eastAsia"/>
              </w:rPr>
              <w:t>（1）超高效液相色谱系统</w:t>
            </w:r>
          </w:p>
          <w:p>
            <w:pPr>
              <w:rPr>
                <w:rFonts w:hint="eastAsia"/>
              </w:rPr>
            </w:pPr>
            <w:r>
              <w:rPr>
                <w:rFonts w:hint="eastAsia"/>
              </w:rPr>
              <w:t>3.1输液单元</w:t>
            </w:r>
          </w:p>
          <w:p>
            <w:pPr>
              <w:rPr>
                <w:rFonts w:hint="eastAsia"/>
              </w:rPr>
            </w:pPr>
            <w:r>
              <w:rPr>
                <w:rFonts w:hint="eastAsia"/>
              </w:rPr>
              <w:t>3.1.1流速范围：至少包含0.01-</w:t>
            </w:r>
            <w:r>
              <w:rPr>
                <w:rFonts w:hint="eastAsia"/>
                <w:lang w:val="en-US" w:eastAsia="zh-CN"/>
              </w:rPr>
              <w:t>2</w:t>
            </w:r>
            <w:r>
              <w:rPr>
                <w:rFonts w:hint="eastAsia"/>
              </w:rPr>
              <w:t>mL/min，以不高于0.01ml/min 为增量，可在软件或仪器上设定；</w:t>
            </w:r>
          </w:p>
          <w:p>
            <w:pPr>
              <w:rPr>
                <w:rFonts w:hint="eastAsia"/>
              </w:rPr>
            </w:pPr>
            <w:r>
              <w:rPr>
                <w:rFonts w:hint="eastAsia"/>
              </w:rPr>
              <w:t>3.1.2最高操作压力：≥1</w:t>
            </w:r>
            <w:r>
              <w:rPr>
                <w:rFonts w:hint="eastAsia"/>
                <w:lang w:val="en-US" w:eastAsia="zh-CN"/>
              </w:rPr>
              <w:t>5</w:t>
            </w:r>
            <w:r>
              <w:rPr>
                <w:rFonts w:hint="eastAsia"/>
              </w:rPr>
              <w:t>000psi；</w:t>
            </w:r>
          </w:p>
          <w:p>
            <w:pPr>
              <w:rPr>
                <w:rFonts w:hint="eastAsia"/>
              </w:rPr>
            </w:pPr>
            <w:r>
              <w:rPr>
                <w:rFonts w:hint="eastAsia"/>
              </w:rPr>
              <w:t>3.1.3梯度曲率：至少包括线性梯度；</w:t>
            </w:r>
          </w:p>
          <w:p>
            <w:pPr>
              <w:rPr>
                <w:rFonts w:hint="eastAsia"/>
              </w:rPr>
            </w:pPr>
            <w:r>
              <w:rPr>
                <w:rFonts w:hint="eastAsia"/>
              </w:rPr>
              <w:t>3.1.4流量（或流速）精度：≤0.0</w:t>
            </w:r>
            <w:r>
              <w:rPr>
                <w:rFonts w:hint="eastAsia"/>
                <w:lang w:val="en-US" w:eastAsia="zh-CN"/>
              </w:rPr>
              <w:t>8</w:t>
            </w:r>
            <w:r>
              <w:rPr>
                <w:rFonts w:hint="eastAsia"/>
              </w:rPr>
              <w:t>%RSD；</w:t>
            </w:r>
          </w:p>
          <w:p>
            <w:pPr>
              <w:rPr>
                <w:rFonts w:hint="eastAsia" w:eastAsia="宋体"/>
                <w:lang w:eastAsia="zh-CN"/>
              </w:rPr>
            </w:pPr>
            <w:r>
              <w:rPr>
                <w:rFonts w:hint="eastAsia"/>
              </w:rPr>
              <w:t>3.1.5梯度组成精度：&lt; 0.15 %RSD</w:t>
            </w:r>
            <w:r>
              <w:rPr>
                <w:rFonts w:hint="eastAsia"/>
                <w:lang w:eastAsia="zh-CN"/>
              </w:rPr>
              <w:t>；</w:t>
            </w:r>
          </w:p>
          <w:p>
            <w:pPr>
              <w:rPr>
                <w:rFonts w:hint="eastAsia"/>
              </w:rPr>
            </w:pPr>
            <w:r>
              <w:rPr>
                <w:rFonts w:hint="eastAsia"/>
              </w:rPr>
              <w:t>3.1.6与泵的流路配套的在线真空脱气机；</w:t>
            </w:r>
          </w:p>
          <w:p>
            <w:pPr>
              <w:rPr>
                <w:rFonts w:hint="eastAsia"/>
              </w:rPr>
            </w:pPr>
            <w:r>
              <w:rPr>
                <w:rFonts w:hint="eastAsia"/>
              </w:rPr>
              <w:t>3.1.7泵清洗系统：有自动清洗柱塞的装置。</w:t>
            </w:r>
          </w:p>
          <w:p>
            <w:pPr>
              <w:rPr>
                <w:rFonts w:hint="eastAsia"/>
              </w:rPr>
            </w:pPr>
            <w:r>
              <w:rPr>
                <w:rFonts w:hint="eastAsia"/>
              </w:rPr>
              <w:t>3.2常规小体积自动进样器：</w:t>
            </w:r>
          </w:p>
          <w:p>
            <w:pPr>
              <w:rPr>
                <w:rFonts w:hint="eastAsia" w:eastAsia="宋体"/>
                <w:lang w:eastAsia="zh-CN"/>
              </w:rPr>
            </w:pPr>
            <w:r>
              <w:rPr>
                <w:rFonts w:hint="eastAsia"/>
              </w:rPr>
              <w:t>3.2.1样品容量：不少于</w:t>
            </w:r>
            <w:r>
              <w:rPr>
                <w:rFonts w:hint="eastAsia"/>
                <w:lang w:val="en-US" w:eastAsia="zh-CN"/>
              </w:rPr>
              <w:t>90</w:t>
            </w:r>
            <w:r>
              <w:rPr>
                <w:rFonts w:hint="eastAsia"/>
              </w:rPr>
              <w:t>位</w:t>
            </w:r>
            <w:r>
              <w:rPr>
                <w:rFonts w:hint="eastAsia" w:ascii="宋体" w:hAnsi="宋体" w:eastAsia="宋体" w:cs="宋体"/>
                <w:color w:val="000000"/>
                <w:sz w:val="21"/>
                <w:szCs w:val="21"/>
                <w:lang w:val="en-US" w:eastAsia="zh-CN"/>
              </w:rPr>
              <w:t>2mL样品瓶</w:t>
            </w:r>
            <w:r>
              <w:rPr>
                <w:rFonts w:hint="eastAsia"/>
              </w:rPr>
              <w:t>，</w:t>
            </w:r>
            <w:r>
              <w:rPr>
                <w:rFonts w:hint="eastAsia"/>
                <w:lang w:val="en-US" w:eastAsia="zh-CN"/>
              </w:rPr>
              <w:t>位数</w:t>
            </w:r>
            <w:r>
              <w:rPr>
                <w:rFonts w:hint="eastAsia"/>
              </w:rPr>
              <w:t>最大可扩展</w:t>
            </w:r>
            <w:r>
              <w:rPr>
                <w:rFonts w:hint="eastAsia"/>
                <w:lang w:eastAsia="zh-CN"/>
              </w:rPr>
              <w:t>；</w:t>
            </w:r>
          </w:p>
          <w:p>
            <w:pPr>
              <w:rPr>
                <w:rFonts w:hint="eastAsia"/>
              </w:rPr>
            </w:pPr>
            <w:r>
              <w:rPr>
                <w:rFonts w:hint="eastAsia"/>
              </w:rPr>
              <w:t>3.2.2进样范围：至少包括0.1-</w:t>
            </w:r>
            <w:r>
              <w:rPr>
                <w:rFonts w:hint="eastAsia"/>
                <w:lang w:val="en-US" w:eastAsia="zh-CN"/>
              </w:rPr>
              <w:t>1</w:t>
            </w:r>
            <w:r>
              <w:rPr>
                <w:rFonts w:hint="eastAsia"/>
              </w:rPr>
              <w:t>0 µL；</w:t>
            </w:r>
          </w:p>
          <w:p>
            <w:pPr>
              <w:rPr>
                <w:rFonts w:hint="eastAsia"/>
              </w:rPr>
            </w:pPr>
            <w:r>
              <w:rPr>
                <w:rFonts w:hint="eastAsia"/>
              </w:rPr>
              <w:t>3.2.3进样精度：≤0.5%RSD；</w:t>
            </w:r>
          </w:p>
          <w:p>
            <w:pPr>
              <w:rPr>
                <w:rFonts w:hint="eastAsia"/>
              </w:rPr>
            </w:pPr>
            <w:r>
              <w:rPr>
                <w:rFonts w:hint="eastAsia"/>
              </w:rPr>
              <w:t>3.2.4自动进样器样品室控制温度：至少包括5-40℃范围；</w:t>
            </w:r>
          </w:p>
          <w:p>
            <w:pPr>
              <w:rPr>
                <w:rFonts w:hint="eastAsia"/>
              </w:rPr>
            </w:pPr>
            <w:r>
              <w:rPr>
                <w:rFonts w:hint="eastAsia"/>
              </w:rPr>
              <w:t>3.2.5交叉污染：≤0.00</w:t>
            </w:r>
            <w:r>
              <w:rPr>
                <w:rFonts w:hint="eastAsia"/>
                <w:lang w:val="en-US" w:eastAsia="zh-CN"/>
              </w:rPr>
              <w:t>5</w:t>
            </w:r>
            <w:r>
              <w:rPr>
                <w:rFonts w:hint="eastAsia"/>
              </w:rPr>
              <w:t>%；</w:t>
            </w:r>
          </w:p>
          <w:p>
            <w:r>
              <w:rPr>
                <w:rFonts w:hint="eastAsia"/>
              </w:rPr>
              <w:t>3.3智能化柱温箱</w:t>
            </w:r>
          </w:p>
          <w:p>
            <w:r>
              <w:t>3.3.1</w:t>
            </w:r>
            <w:r>
              <w:rPr>
                <w:rFonts w:hint="eastAsia"/>
              </w:rPr>
              <w:t>控温范围：控温范围：</w:t>
            </w:r>
            <w:r>
              <w:rPr>
                <w:rFonts w:hint="eastAsia"/>
                <w:lang w:val="en-US" w:eastAsia="zh-CN"/>
              </w:rPr>
              <w:t>至少包括室温</w:t>
            </w:r>
            <w:r>
              <w:t xml:space="preserve"> - </w:t>
            </w:r>
            <w:r>
              <w:rPr>
                <w:rFonts w:hint="eastAsia"/>
                <w:lang w:val="en-US" w:eastAsia="zh-CN"/>
              </w:rPr>
              <w:t>80</w:t>
            </w:r>
            <w:r>
              <w:rPr>
                <w:rFonts w:hint="eastAsia"/>
              </w:rPr>
              <w:t>℃；</w:t>
            </w:r>
          </w:p>
          <w:p>
            <w:pPr>
              <w:rPr>
                <w:rFonts w:hint="eastAsia" w:eastAsia="宋体"/>
                <w:lang w:eastAsia="zh-CN"/>
              </w:rPr>
            </w:pPr>
            <w:r>
              <w:t>3.3.</w:t>
            </w:r>
            <w:r>
              <w:rPr>
                <w:rFonts w:hint="eastAsia"/>
                <w:lang w:val="en-US" w:eastAsia="zh-CN"/>
              </w:rPr>
              <w:t>2</w:t>
            </w:r>
            <w:r>
              <w:t xml:space="preserve"> </w:t>
            </w:r>
            <w:r>
              <w:rPr>
                <w:rFonts w:hint="eastAsia"/>
              </w:rPr>
              <w:t>温度准确度：±</w:t>
            </w:r>
            <w:r>
              <w:t>0.5</w:t>
            </w:r>
            <w:r>
              <w:rPr>
                <w:rFonts w:hint="eastAsia"/>
              </w:rPr>
              <w:t>℃</w:t>
            </w:r>
            <w:r>
              <w:rPr>
                <w:rFonts w:hint="eastAsia"/>
                <w:lang w:eastAsia="zh-CN"/>
              </w:rPr>
              <w:t>；</w:t>
            </w:r>
          </w:p>
          <w:p>
            <w:pPr>
              <w:rPr>
                <w:rFonts w:hint="eastAsia" w:eastAsia="宋体"/>
                <w:lang w:eastAsia="zh-CN"/>
              </w:rPr>
            </w:pPr>
            <w:r>
              <w:rPr>
                <w:rFonts w:hint="eastAsia"/>
              </w:rPr>
              <w:t>3.3.</w:t>
            </w:r>
            <w:r>
              <w:rPr>
                <w:rFonts w:hint="eastAsia"/>
                <w:lang w:val="en-US" w:eastAsia="zh-CN"/>
              </w:rPr>
              <w:t>3</w:t>
            </w:r>
            <w:r>
              <w:rPr>
                <w:rFonts w:hint="eastAsia"/>
              </w:rPr>
              <w:t xml:space="preserve"> 温度精度：&lt; 0.</w:t>
            </w:r>
            <w:r>
              <w:rPr>
                <w:rFonts w:hint="eastAsia"/>
                <w:lang w:val="en-US" w:eastAsia="zh-CN"/>
              </w:rPr>
              <w:t>5</w:t>
            </w:r>
            <w:r>
              <w:rPr>
                <w:rFonts w:hint="eastAsia"/>
              </w:rPr>
              <w:t>℃</w:t>
            </w:r>
            <w:r>
              <w:rPr>
                <w:rFonts w:hint="eastAsia"/>
                <w:lang w:eastAsia="zh-CN"/>
              </w:rPr>
              <w:t>；</w:t>
            </w:r>
          </w:p>
          <w:p>
            <w:pPr>
              <w:rPr>
                <w:rFonts w:hint="eastAsia"/>
              </w:rPr>
            </w:pPr>
            <w:r>
              <w:rPr>
                <w:rFonts w:hint="eastAsia"/>
              </w:rPr>
              <w:t>3.4在线固相萃取（SPE）进样系统</w:t>
            </w:r>
          </w:p>
          <w:p>
            <w:pPr>
              <w:rPr>
                <w:rFonts w:hint="eastAsia" w:eastAsia="宋体"/>
                <w:lang w:eastAsia="zh-CN"/>
              </w:rPr>
            </w:pPr>
            <w:r>
              <w:rPr>
                <w:rFonts w:hint="eastAsia"/>
              </w:rPr>
              <w:t>3.4.1在线固相萃取（SPE）进样系统包含上样用四元</w:t>
            </w:r>
            <w:r>
              <w:rPr>
                <w:rFonts w:hint="eastAsia"/>
                <w:lang w:val="en-US" w:eastAsia="zh-CN"/>
              </w:rPr>
              <w:t>或二元</w:t>
            </w:r>
            <w:bookmarkStart w:id="0" w:name="_GoBack"/>
            <w:bookmarkEnd w:id="0"/>
            <w:r>
              <w:rPr>
                <w:rFonts w:hint="eastAsia"/>
              </w:rPr>
              <w:t>泵，真空脱气机，SPE柱，自动进样器流路切换系统</w:t>
            </w:r>
            <w:r>
              <w:rPr>
                <w:rFonts w:hint="eastAsia"/>
                <w:lang w:eastAsia="zh-CN"/>
              </w:rPr>
              <w:t>；</w:t>
            </w:r>
          </w:p>
          <w:p>
            <w:pPr>
              <w:rPr>
                <w:rFonts w:hint="eastAsia"/>
              </w:rPr>
            </w:pPr>
            <w:r>
              <w:rPr>
                <w:rFonts w:hint="eastAsia"/>
              </w:rPr>
              <w:t>3.4.2高精度四元泵溶液输送单元一套；</w:t>
            </w:r>
          </w:p>
          <w:p>
            <w:pPr>
              <w:rPr>
                <w:rFonts w:hint="eastAsia"/>
              </w:rPr>
            </w:pPr>
            <w:r>
              <w:rPr>
                <w:rFonts w:hint="eastAsia"/>
              </w:rPr>
              <w:t>3.4.2.</w:t>
            </w:r>
            <w:r>
              <w:rPr>
                <w:rFonts w:hint="eastAsia"/>
                <w:lang w:val="en-US" w:eastAsia="zh-CN"/>
              </w:rPr>
              <w:t>1</w:t>
            </w:r>
            <w:r>
              <w:rPr>
                <w:rFonts w:hint="eastAsia"/>
              </w:rPr>
              <w:t>流量精密度：RSD不高于0.0</w:t>
            </w:r>
            <w:r>
              <w:rPr>
                <w:rFonts w:hint="eastAsia"/>
                <w:lang w:val="en-US" w:eastAsia="zh-CN"/>
              </w:rPr>
              <w:t>8</w:t>
            </w:r>
            <w:r>
              <w:rPr>
                <w:rFonts w:hint="eastAsia"/>
              </w:rPr>
              <w:t>％；</w:t>
            </w:r>
          </w:p>
          <w:p>
            <w:pPr>
              <w:rPr>
                <w:rFonts w:hint="eastAsia"/>
              </w:rPr>
            </w:pPr>
            <w:r>
              <w:rPr>
                <w:rFonts w:hint="eastAsia"/>
              </w:rPr>
              <w:t>3.4.2.</w:t>
            </w:r>
            <w:r>
              <w:rPr>
                <w:rFonts w:hint="eastAsia"/>
                <w:lang w:val="en-US" w:eastAsia="zh-CN"/>
              </w:rPr>
              <w:t>2</w:t>
            </w:r>
            <w:r>
              <w:rPr>
                <w:rFonts w:hint="eastAsia"/>
              </w:rPr>
              <w:t>流速准确度：±1 %</w:t>
            </w:r>
          </w:p>
          <w:p>
            <w:pPr>
              <w:rPr>
                <w:rFonts w:hint="eastAsia" w:eastAsia="宋体"/>
                <w:lang w:val="en-US" w:eastAsia="zh-CN"/>
              </w:rPr>
            </w:pPr>
            <w:r>
              <w:rPr>
                <w:rFonts w:hint="eastAsia"/>
              </w:rPr>
              <w:t>3.4.2.</w:t>
            </w:r>
            <w:r>
              <w:rPr>
                <w:rFonts w:hint="eastAsia"/>
                <w:lang w:val="en-US" w:eastAsia="zh-CN"/>
              </w:rPr>
              <w:t>3</w:t>
            </w:r>
            <w:r>
              <w:rPr>
                <w:rFonts w:hint="eastAsia"/>
              </w:rPr>
              <w:t xml:space="preserve"> 最大承受压力不低于</w:t>
            </w:r>
            <w:r>
              <w:rPr>
                <w:rFonts w:hint="eastAsia"/>
                <w:lang w:val="en-US" w:eastAsia="zh-CN"/>
              </w:rPr>
              <w:t>9000psi；</w:t>
            </w:r>
          </w:p>
          <w:p>
            <w:pPr>
              <w:rPr>
                <w:rFonts w:hint="eastAsia"/>
              </w:rPr>
            </w:pPr>
            <w:r>
              <w:rPr>
                <w:rFonts w:hint="eastAsia"/>
              </w:rPr>
              <w:t>3.4.2.4混合溶剂数：不低于</w:t>
            </w:r>
            <w:r>
              <w:rPr>
                <w:rFonts w:hint="eastAsia"/>
                <w:lang w:val="en-US" w:eastAsia="zh-CN"/>
              </w:rPr>
              <w:t>3</w:t>
            </w:r>
            <w:r>
              <w:rPr>
                <w:rFonts w:hint="eastAsia"/>
              </w:rPr>
              <w:t>液；</w:t>
            </w:r>
          </w:p>
          <w:p>
            <w:pPr>
              <w:rPr>
                <w:rFonts w:hint="eastAsia"/>
              </w:rPr>
            </w:pPr>
            <w:r>
              <w:rPr>
                <w:rFonts w:hint="eastAsia"/>
              </w:rPr>
              <w:t>3.4.2.5混合浓度精密度：RSD不高于0.2%；</w:t>
            </w:r>
          </w:p>
          <w:p>
            <w:pPr>
              <w:rPr>
                <w:rFonts w:hint="eastAsia"/>
              </w:rPr>
            </w:pPr>
            <w:r>
              <w:rPr>
                <w:rFonts w:hint="eastAsia"/>
              </w:rPr>
              <w:t>3.4.2.6梯度组成精度：RSD不高于0.2%；</w:t>
            </w:r>
          </w:p>
          <w:p>
            <w:pPr>
              <w:rPr>
                <w:rFonts w:hint="eastAsia" w:eastAsia="宋体"/>
                <w:lang w:eastAsia="zh-CN"/>
              </w:rPr>
            </w:pPr>
            <w:r>
              <w:rPr>
                <w:rFonts w:hint="eastAsia"/>
              </w:rPr>
              <w:t>3.4.2.7含集成的脱气单元：4通道或以上</w:t>
            </w:r>
            <w:r>
              <w:rPr>
                <w:rFonts w:hint="eastAsia"/>
                <w:lang w:eastAsia="zh-CN"/>
              </w:rPr>
              <w:t>；</w:t>
            </w:r>
          </w:p>
          <w:p>
            <w:pPr>
              <w:rPr>
                <w:rFonts w:hint="eastAsia"/>
              </w:rPr>
            </w:pPr>
            <w:r>
              <w:rPr>
                <w:rFonts w:hint="eastAsia"/>
              </w:rPr>
              <w:t>3.5 直接进样模式切换单元</w:t>
            </w:r>
          </w:p>
          <w:p>
            <w:pPr>
              <w:rPr>
                <w:rFonts w:hint="eastAsia"/>
              </w:rPr>
            </w:pPr>
            <w:r>
              <w:rPr>
                <w:rFonts w:hint="eastAsia"/>
              </w:rPr>
              <w:t>3.5.1直接进样模式及在线富集模式可实现软件自动切换，无需人工手动更改任何硬件连接；</w:t>
            </w:r>
          </w:p>
          <w:p>
            <w:pPr>
              <w:rPr>
                <w:rFonts w:hint="eastAsia"/>
              </w:rPr>
            </w:pPr>
            <w:r>
              <w:rPr>
                <w:rFonts w:hint="eastAsia"/>
              </w:rPr>
              <w:t>3.6大体积进样器</w:t>
            </w:r>
          </w:p>
          <w:p>
            <w:r>
              <w:rPr>
                <w:rFonts w:hint="eastAsia"/>
              </w:rPr>
              <w:t>3.6.1样品容量：</w:t>
            </w:r>
            <w:r>
              <w:rPr>
                <w:rFonts w:hint="eastAsia"/>
                <w:lang w:eastAsia="zh-CN"/>
              </w:rPr>
              <w:t>2mL样品瓶容量</w:t>
            </w:r>
            <w:r>
              <w:rPr>
                <w:rFonts w:hint="eastAsia"/>
                <w:lang w:val="en-US" w:eastAsia="zh-CN"/>
              </w:rPr>
              <w:t>不少于90</w:t>
            </w:r>
            <w:r>
              <w:rPr>
                <w:rFonts w:hint="eastAsia"/>
                <w:lang w:eastAsia="zh-CN"/>
              </w:rPr>
              <w:t>位；</w:t>
            </w:r>
          </w:p>
          <w:p>
            <w:pPr>
              <w:rPr>
                <w:rFonts w:hint="eastAsia" w:eastAsia="宋体"/>
                <w:lang w:eastAsia="zh-CN"/>
              </w:rPr>
            </w:pPr>
            <w:r>
              <w:rPr>
                <w:rFonts w:hint="eastAsia"/>
              </w:rPr>
              <w:t>3.6.2进样范围：&gt;</w:t>
            </w:r>
            <w:r>
              <w:rPr>
                <w:rFonts w:hint="eastAsia"/>
                <w:lang w:val="en-US" w:eastAsia="zh-CN"/>
              </w:rPr>
              <w:t>1</w:t>
            </w:r>
            <w:r>
              <w:rPr>
                <w:rFonts w:hint="eastAsia"/>
              </w:rPr>
              <w:t>0μL</w:t>
            </w:r>
            <w:r>
              <w:rPr>
                <w:rFonts w:hint="eastAsia"/>
                <w:lang w:eastAsia="zh-CN"/>
              </w:rPr>
              <w:t>；</w:t>
            </w:r>
          </w:p>
          <w:p>
            <w:pPr>
              <w:rPr>
                <w:rFonts w:hint="eastAsia" w:eastAsia="宋体"/>
                <w:lang w:eastAsia="zh-CN"/>
              </w:rPr>
            </w:pPr>
            <w:r>
              <w:rPr>
                <w:rFonts w:hint="eastAsia"/>
              </w:rPr>
              <w:t>3.6.3进样精度：&lt; 0.</w:t>
            </w:r>
            <w:r>
              <w:rPr>
                <w:rFonts w:hint="eastAsia"/>
                <w:lang w:val="en-US" w:eastAsia="zh-CN"/>
              </w:rPr>
              <w:t>5</w:t>
            </w:r>
            <w:r>
              <w:rPr>
                <w:rFonts w:hint="eastAsia"/>
              </w:rPr>
              <w:t xml:space="preserve"> % RSD</w:t>
            </w:r>
            <w:r>
              <w:rPr>
                <w:rFonts w:hint="eastAsia"/>
                <w:lang w:eastAsia="zh-CN"/>
              </w:rPr>
              <w:t>；</w:t>
            </w:r>
          </w:p>
          <w:p>
            <w:pPr>
              <w:rPr>
                <w:rFonts w:hint="eastAsia" w:eastAsia="宋体"/>
                <w:lang w:eastAsia="zh-CN"/>
              </w:rPr>
            </w:pPr>
            <w:r>
              <w:rPr>
                <w:rFonts w:hint="eastAsia"/>
              </w:rPr>
              <w:t>3.6.4交叉污染度：&lt; 0.00</w:t>
            </w:r>
            <w:r>
              <w:rPr>
                <w:rFonts w:hint="eastAsia"/>
                <w:lang w:val="en-US" w:eastAsia="zh-CN"/>
              </w:rPr>
              <w:t>8</w:t>
            </w:r>
            <w:r>
              <w:rPr>
                <w:rFonts w:hint="eastAsia"/>
              </w:rPr>
              <w:t xml:space="preserve"> % </w:t>
            </w:r>
            <w:r>
              <w:rPr>
                <w:rFonts w:hint="eastAsia"/>
                <w:lang w:eastAsia="zh-CN"/>
              </w:rPr>
              <w:t>；</w:t>
            </w:r>
          </w:p>
          <w:p>
            <w:pPr>
              <w:rPr>
                <w:rFonts w:hint="eastAsia" w:eastAsia="宋体"/>
                <w:lang w:eastAsia="zh-CN"/>
              </w:rPr>
            </w:pPr>
            <w:r>
              <w:rPr>
                <w:rFonts w:hint="eastAsia"/>
              </w:rPr>
              <w:t>3.6.5样品盘温度控制范围：</w:t>
            </w:r>
            <w:r>
              <w:rPr>
                <w:rFonts w:hint="eastAsia"/>
                <w:lang w:val="en-US" w:eastAsia="zh-CN"/>
              </w:rPr>
              <w:t>5</w:t>
            </w:r>
            <w:r>
              <w:rPr>
                <w:rFonts w:hint="eastAsia"/>
              </w:rPr>
              <w:t>–40℃</w:t>
            </w:r>
            <w:r>
              <w:rPr>
                <w:rFonts w:hint="eastAsia"/>
                <w:lang w:eastAsia="zh-CN"/>
              </w:rPr>
              <w:t>；</w:t>
            </w:r>
          </w:p>
          <w:p>
            <w:pPr>
              <w:rPr>
                <w:rFonts w:hint="eastAsia"/>
              </w:rPr>
            </w:pPr>
            <w:r>
              <w:rPr>
                <w:rFonts w:hint="eastAsia"/>
              </w:rPr>
              <w:t>（2）质谱部分</w:t>
            </w:r>
          </w:p>
          <w:p>
            <w:pPr>
              <w:rPr>
                <w:rFonts w:hint="eastAsia"/>
              </w:rPr>
            </w:pPr>
            <w:r>
              <w:rPr>
                <w:rFonts w:hint="eastAsia"/>
              </w:rPr>
              <w:t>3.7质谱至少配有ESI和APCI离子源；</w:t>
            </w:r>
          </w:p>
          <w:p>
            <w:pPr>
              <w:rPr>
                <w:rFonts w:hint="eastAsia"/>
              </w:rPr>
            </w:pPr>
            <w:r>
              <w:rPr>
                <w:rFonts w:hint="eastAsia"/>
              </w:rPr>
              <w:t>3.8灵敏度</w:t>
            </w:r>
          </w:p>
          <w:p>
            <w:pPr>
              <w:rPr>
                <w:rFonts w:hint="eastAsia"/>
              </w:rPr>
            </w:pPr>
            <w:r>
              <w:rPr>
                <w:rFonts w:hint="eastAsia"/>
              </w:rPr>
              <w:t>3.8.1 EESI+灵敏度：液质联用柱上进样1 pg利血平，MRM离子对为m/z609与195，信噪比S/N≥</w:t>
            </w:r>
            <w:r>
              <w:rPr>
                <w:rFonts w:hint="eastAsia"/>
                <w:lang w:val="en-US" w:eastAsia="zh-CN"/>
              </w:rPr>
              <w:t>1</w:t>
            </w:r>
            <w:r>
              <w:rPr>
                <w:rFonts w:hint="eastAsia"/>
              </w:rPr>
              <w:t>000,000:1（RMS）；</w:t>
            </w:r>
          </w:p>
          <w:p>
            <w:pPr>
              <w:rPr>
                <w:rFonts w:hint="eastAsia"/>
              </w:rPr>
            </w:pPr>
            <w:r>
              <w:rPr>
                <w:rFonts w:hint="eastAsia"/>
              </w:rPr>
              <w:t xml:space="preserve">3.8.2 ESI-灵敏度：液质联用柱上进样1 pg 氯霉素，MRM离子对为m/z321与152, S/N≥ </w:t>
            </w:r>
            <w:r>
              <w:rPr>
                <w:rFonts w:hint="eastAsia"/>
                <w:lang w:val="en-US" w:eastAsia="zh-CN"/>
              </w:rPr>
              <w:t>1</w:t>
            </w:r>
            <w:r>
              <w:rPr>
                <w:rFonts w:hint="eastAsia"/>
              </w:rPr>
              <w:t>000,000:1（RMS）；</w:t>
            </w:r>
          </w:p>
          <w:p>
            <w:pPr>
              <w:rPr>
                <w:rFonts w:hint="eastAsia"/>
              </w:rPr>
            </w:pPr>
            <w:r>
              <w:rPr>
                <w:rFonts w:hint="eastAsia"/>
              </w:rPr>
              <w:t>3.8.3 APCI灵敏度：液质联用柱上进样1 pg利血平，MRM离子对为m/z609与195，信噪比S/N≥500,000:1（RMS）；</w:t>
            </w:r>
          </w:p>
          <w:p>
            <w:pPr>
              <w:rPr>
                <w:rFonts w:hint="eastAsia"/>
              </w:rPr>
            </w:pPr>
            <w:r>
              <w:rPr>
                <w:rFonts w:hint="eastAsia"/>
              </w:rPr>
              <w:t xml:space="preserve">3.9质量范围m/z：至少包括m/z </w:t>
            </w:r>
            <w:r>
              <w:rPr>
                <w:rFonts w:hint="eastAsia"/>
                <w:lang w:val="en-US" w:eastAsia="zh-CN"/>
              </w:rPr>
              <w:t>18</w:t>
            </w:r>
            <w:r>
              <w:rPr>
                <w:rFonts w:hint="eastAsia"/>
              </w:rPr>
              <w:t>-20</w:t>
            </w:r>
            <w:r>
              <w:rPr>
                <w:rFonts w:hint="eastAsia"/>
                <w:lang w:val="en-US" w:eastAsia="zh-CN"/>
              </w:rPr>
              <w:t>0</w:t>
            </w:r>
            <w:r>
              <w:rPr>
                <w:rFonts w:hint="eastAsia"/>
              </w:rPr>
              <w:t>0；</w:t>
            </w:r>
          </w:p>
          <w:p>
            <w:pPr>
              <w:rPr>
                <w:rFonts w:hint="eastAsia"/>
              </w:rPr>
            </w:pPr>
            <w:r>
              <w:rPr>
                <w:rFonts w:hint="eastAsia"/>
              </w:rPr>
              <w:t>3.10最大扫描速率：≥1</w:t>
            </w:r>
            <w:r>
              <w:rPr>
                <w:rFonts w:hint="eastAsia"/>
                <w:lang w:val="en-US" w:eastAsia="zh-CN"/>
              </w:rPr>
              <w:t>5</w:t>
            </w:r>
            <w:r>
              <w:rPr>
                <w:rFonts w:hint="eastAsia"/>
              </w:rPr>
              <w:t>000 amu/s，正负模式切换时间：≤25 ms；</w:t>
            </w:r>
          </w:p>
          <w:p>
            <w:pPr>
              <w:rPr>
                <w:rFonts w:hint="eastAsia" w:eastAsia="宋体"/>
                <w:szCs w:val="21"/>
                <w:lang w:eastAsia="zh-CN"/>
              </w:rPr>
            </w:pPr>
            <w:r>
              <w:rPr>
                <w:rFonts w:hint="eastAsia"/>
              </w:rPr>
              <w:t>3.1</w:t>
            </w:r>
            <w:r>
              <w:rPr>
                <w:rFonts w:hint="eastAsia"/>
                <w:lang w:val="en-US" w:eastAsia="zh-CN"/>
              </w:rPr>
              <w:t>1</w:t>
            </w:r>
            <w:r>
              <w:rPr>
                <w:rFonts w:hint="eastAsia"/>
              </w:rPr>
              <w:t xml:space="preserve"> MRM通道速度：≥500MRM/s</w:t>
            </w:r>
            <w:r>
              <w:rPr>
                <w:rFonts w:hint="eastAsia"/>
                <w:lang w:eastAsia="zh-CN"/>
              </w:rPr>
              <w:t>；</w:t>
            </w:r>
          </w:p>
          <w:p>
            <w:pPr>
              <w:rPr>
                <w:rFonts w:hint="eastAsia"/>
              </w:rPr>
            </w:pPr>
            <w:r>
              <w:rPr>
                <w:rFonts w:hint="eastAsia"/>
              </w:rPr>
              <w:t>3.1</w:t>
            </w:r>
            <w:r>
              <w:rPr>
                <w:rFonts w:hint="eastAsia"/>
                <w:lang w:val="en-US" w:eastAsia="zh-CN"/>
              </w:rPr>
              <w:t>2</w:t>
            </w:r>
            <w:r>
              <w:rPr>
                <w:rFonts w:hint="eastAsia"/>
              </w:rPr>
              <w:t xml:space="preserve">最小MRM驻留时间：≤ </w:t>
            </w:r>
            <w:r>
              <w:rPr>
                <w:rFonts w:hint="eastAsia"/>
                <w:lang w:val="en-US" w:eastAsia="zh-CN"/>
              </w:rPr>
              <w:t>1</w:t>
            </w:r>
            <w:r>
              <w:rPr>
                <w:rFonts w:hint="eastAsia"/>
              </w:rPr>
              <w:t>ms；</w:t>
            </w:r>
          </w:p>
          <w:p>
            <w:pPr>
              <w:rPr>
                <w:rFonts w:hint="eastAsia" w:eastAsia="宋体"/>
                <w:lang w:val="en-US" w:eastAsia="zh-CN"/>
              </w:rPr>
            </w:pPr>
            <w:r>
              <w:rPr>
                <w:rFonts w:hint="eastAsia"/>
              </w:rPr>
              <w:t>3.1</w:t>
            </w:r>
            <w:r>
              <w:rPr>
                <w:rFonts w:hint="eastAsia"/>
                <w:lang w:val="en-US" w:eastAsia="zh-CN"/>
              </w:rPr>
              <w:t>3</w:t>
            </w:r>
            <w:r>
              <w:rPr>
                <w:rFonts w:hint="eastAsia"/>
              </w:rPr>
              <w:t>扫描方式：至少包括全扫描、子离子扫描、母离子扫描、中性丢失扫描、MRM扫描（用于定量分析）、正/负极性切换</w:t>
            </w:r>
            <w:r>
              <w:rPr>
                <w:rFonts w:hint="eastAsia"/>
                <w:lang w:val="en-US" w:eastAsia="zh-CN"/>
              </w:rPr>
              <w:t>等；</w:t>
            </w:r>
          </w:p>
          <w:p>
            <w:pPr>
              <w:rPr>
                <w:rFonts w:hint="eastAsia"/>
              </w:rPr>
            </w:pPr>
            <w:r>
              <w:rPr>
                <w:rFonts w:hint="eastAsia"/>
              </w:rPr>
              <w:t>3.1</w:t>
            </w:r>
            <w:r>
              <w:rPr>
                <w:rFonts w:hint="eastAsia"/>
                <w:lang w:val="en-US" w:eastAsia="zh-CN"/>
              </w:rPr>
              <w:t>4</w:t>
            </w:r>
            <w:r>
              <w:rPr>
                <w:rFonts w:hint="eastAsia"/>
              </w:rPr>
              <w:t>雾化器加热温度不低于</w:t>
            </w:r>
            <w:r>
              <w:rPr>
                <w:rFonts w:hint="eastAsia"/>
                <w:lang w:val="en-US" w:eastAsia="zh-CN"/>
              </w:rPr>
              <w:t>50</w:t>
            </w:r>
            <w:r>
              <w:rPr>
                <w:rFonts w:hint="eastAsia"/>
              </w:rPr>
              <w:t>0°C，并可针对不同化合物设定不同的分析温度；</w:t>
            </w:r>
          </w:p>
          <w:p>
            <w:pPr>
              <w:rPr>
                <w:rFonts w:hint="eastAsia"/>
              </w:rPr>
            </w:pPr>
            <w:r>
              <w:rPr>
                <w:rFonts w:hint="eastAsia"/>
              </w:rPr>
              <w:t>3.</w:t>
            </w:r>
            <w:r>
              <w:rPr>
                <w:rFonts w:hint="eastAsia"/>
                <w:lang w:val="en-US" w:eastAsia="zh-CN"/>
              </w:rPr>
              <w:t>15</w:t>
            </w:r>
            <w:r>
              <w:rPr>
                <w:rFonts w:hint="eastAsia"/>
              </w:rPr>
              <w:t>质量稳定性：不高于±</w:t>
            </w:r>
            <w:r>
              <w:rPr>
                <w:rFonts w:hint="eastAsia"/>
                <w:lang w:val="en-US" w:eastAsia="zh-CN"/>
              </w:rPr>
              <w:t>1</w:t>
            </w:r>
            <w:r>
              <w:rPr>
                <w:rFonts w:hint="eastAsia"/>
              </w:rPr>
              <w:t>amu/24 hours；</w:t>
            </w:r>
          </w:p>
          <w:p>
            <w:pPr>
              <w:rPr>
                <w:rFonts w:hint="eastAsia"/>
              </w:rPr>
            </w:pPr>
            <w:r>
              <w:rPr>
                <w:rFonts w:hint="eastAsia"/>
              </w:rPr>
              <w:t>3.</w:t>
            </w:r>
            <w:r>
              <w:rPr>
                <w:rFonts w:hint="eastAsia"/>
                <w:lang w:val="en-US" w:eastAsia="zh-CN"/>
              </w:rPr>
              <w:t>16</w:t>
            </w:r>
            <w:r>
              <w:rPr>
                <w:rFonts w:hint="eastAsia"/>
              </w:rPr>
              <w:t xml:space="preserve"> 动态范围：&gt; </w:t>
            </w:r>
            <w:r>
              <w:rPr>
                <w:rFonts w:hint="eastAsia"/>
                <w:lang w:val="en-US" w:eastAsia="zh-CN"/>
              </w:rPr>
              <w:t>1</w:t>
            </w:r>
            <w:r>
              <w:rPr>
                <w:rFonts w:hint="eastAsia"/>
              </w:rPr>
              <w:t>×10</w:t>
            </w:r>
            <w:r>
              <w:rPr>
                <w:rFonts w:hint="eastAsia"/>
                <w:vertAlign w:val="superscript"/>
              </w:rPr>
              <w:t>6</w:t>
            </w:r>
          </w:p>
          <w:p>
            <w:pPr>
              <w:rPr>
                <w:rFonts w:hint="eastAsia"/>
              </w:rPr>
            </w:pPr>
            <w:r>
              <w:rPr>
                <w:rFonts w:hint="eastAsia"/>
              </w:rPr>
              <w:t>3.</w:t>
            </w:r>
            <w:r>
              <w:rPr>
                <w:rFonts w:hint="eastAsia"/>
                <w:lang w:val="en-US" w:eastAsia="zh-CN"/>
              </w:rPr>
              <w:t>17</w:t>
            </w:r>
            <w:r>
              <w:rPr>
                <w:rFonts w:hint="eastAsia"/>
              </w:rPr>
              <w:t>真空系统，保证仪器正常运行的真空系统一套，具有自动断电保护功能；</w:t>
            </w:r>
          </w:p>
          <w:p>
            <w:pPr>
              <w:rPr>
                <w:rFonts w:hint="eastAsia" w:eastAsia="宋体"/>
                <w:lang w:eastAsia="zh-CN"/>
              </w:rPr>
            </w:pPr>
            <w:r>
              <w:rPr>
                <w:rFonts w:hint="eastAsia"/>
              </w:rPr>
              <w:t>3.</w:t>
            </w:r>
            <w:r>
              <w:rPr>
                <w:rFonts w:hint="eastAsia"/>
                <w:lang w:val="en-US" w:eastAsia="zh-CN"/>
              </w:rPr>
              <w:t>18</w:t>
            </w:r>
            <w:r>
              <w:rPr>
                <w:rFonts w:hint="eastAsia"/>
              </w:rPr>
              <w:t>源后真空过渡系统：毛细管或锥孔设计</w:t>
            </w:r>
            <w:r>
              <w:rPr>
                <w:rFonts w:hint="eastAsia"/>
                <w:lang w:eastAsia="zh-CN"/>
              </w:rPr>
              <w:t>；</w:t>
            </w:r>
          </w:p>
          <w:p>
            <w:pPr>
              <w:rPr>
                <w:rFonts w:hint="eastAsia"/>
              </w:rPr>
            </w:pPr>
            <w:r>
              <w:rPr>
                <w:rFonts w:hint="eastAsia"/>
              </w:rPr>
              <w:t>3.</w:t>
            </w:r>
            <w:r>
              <w:rPr>
                <w:rFonts w:hint="eastAsia"/>
                <w:lang w:val="en-US" w:eastAsia="zh-CN"/>
              </w:rPr>
              <w:t>19</w:t>
            </w:r>
            <w:r>
              <w:rPr>
                <w:rFonts w:hint="eastAsia"/>
              </w:rPr>
              <w:t>在没有液相色谱相连的情况下，可以通过注射器等直接进样质谱扫描分析；</w:t>
            </w:r>
          </w:p>
          <w:p>
            <w:pPr>
              <w:rPr>
                <w:rFonts w:hint="eastAsia" w:eastAsia="宋体"/>
                <w:lang w:eastAsia="zh-CN"/>
              </w:rPr>
            </w:pPr>
            <w:r>
              <w:rPr>
                <w:rFonts w:hint="eastAsia"/>
              </w:rPr>
              <w:t>3.</w:t>
            </w:r>
            <w:r>
              <w:rPr>
                <w:rFonts w:hint="eastAsia"/>
                <w:lang w:val="en-US" w:eastAsia="zh-CN"/>
              </w:rPr>
              <w:t>20</w:t>
            </w:r>
            <w:r>
              <w:rPr>
                <w:rFonts w:hint="eastAsia"/>
              </w:rPr>
              <w:t>碰撞反应池，无记忆效应</w:t>
            </w:r>
            <w:r>
              <w:rPr>
                <w:rFonts w:hint="eastAsia"/>
                <w:lang w:eastAsia="zh-CN"/>
              </w:rPr>
              <w:t>；</w:t>
            </w:r>
          </w:p>
          <w:p>
            <w:pPr>
              <w:rPr>
                <w:rFonts w:hint="eastAsia"/>
              </w:rPr>
            </w:pPr>
            <w:r>
              <w:rPr>
                <w:rFonts w:hint="eastAsia"/>
              </w:rPr>
              <w:t>（3）不间断电源</w:t>
            </w:r>
          </w:p>
          <w:p>
            <w:pPr>
              <w:rPr>
                <w:rFonts w:hint="eastAsia"/>
              </w:rPr>
            </w:pPr>
            <w:r>
              <w:rPr>
                <w:rFonts w:hint="eastAsia"/>
              </w:rPr>
              <w:t>3.</w:t>
            </w:r>
            <w:r>
              <w:rPr>
                <w:rFonts w:hint="eastAsia"/>
                <w:lang w:val="en-US" w:eastAsia="zh-CN"/>
              </w:rPr>
              <w:t>21</w:t>
            </w:r>
            <w:r>
              <w:rPr>
                <w:rFonts w:hint="eastAsia"/>
              </w:rPr>
              <w:t>输入电压范围：210-470V,输出电压：220Vac±1%,电流峰值比：3:1；</w:t>
            </w:r>
          </w:p>
          <w:p>
            <w:pPr>
              <w:rPr>
                <w:rFonts w:hint="eastAsia" w:eastAsia="宋体"/>
                <w:lang w:eastAsia="zh-CN"/>
              </w:rPr>
            </w:pPr>
            <w:r>
              <w:rPr>
                <w:rFonts w:hint="eastAsia"/>
              </w:rPr>
              <w:t>3.</w:t>
            </w:r>
            <w:r>
              <w:rPr>
                <w:rFonts w:hint="eastAsia"/>
                <w:lang w:val="en-US" w:eastAsia="zh-CN"/>
              </w:rPr>
              <w:t>22</w:t>
            </w:r>
            <w:r>
              <w:rPr>
                <w:rFonts w:hint="eastAsia"/>
              </w:rPr>
              <w:t xml:space="preserve"> UPS配套蓄电池采用电池槽盖、极柱双重密封，确保不漏酸</w:t>
            </w:r>
            <w:r>
              <w:rPr>
                <w:rFonts w:hint="eastAsia"/>
                <w:lang w:eastAsia="zh-CN"/>
              </w:rPr>
              <w:t>；</w:t>
            </w:r>
          </w:p>
          <w:p>
            <w:pPr>
              <w:rPr>
                <w:rFonts w:hint="eastAsia"/>
              </w:rPr>
            </w:pPr>
            <w:r>
              <w:rPr>
                <w:rFonts w:hint="eastAsia"/>
              </w:rPr>
              <w:t>3.</w:t>
            </w:r>
            <w:r>
              <w:rPr>
                <w:rFonts w:hint="eastAsia"/>
                <w:lang w:val="en-US" w:eastAsia="zh-CN"/>
              </w:rPr>
              <w:t>23</w:t>
            </w:r>
            <w:r>
              <w:rPr>
                <w:rFonts w:hint="eastAsia"/>
              </w:rPr>
              <w:t>应用于高效液相色谱/三重四极杆串联质谱仪系统以及配套的设备如气体发生器等，能在断电情况下，保证1台高效液相色谱/三重四极杆串联质谱仪系统正常工作运行维持2小时以上；</w:t>
            </w:r>
          </w:p>
          <w:p>
            <w:pPr>
              <w:rPr>
                <w:rFonts w:hint="eastAsia"/>
              </w:rPr>
            </w:pPr>
            <w:r>
              <w:rPr>
                <w:rFonts w:hint="eastAsia"/>
              </w:rPr>
              <w:t>（4）氮气发生器</w:t>
            </w:r>
          </w:p>
          <w:p>
            <w:pPr>
              <w:rPr>
                <w:rFonts w:hint="eastAsia" w:eastAsia="宋体"/>
                <w:lang w:eastAsia="zh-CN"/>
              </w:rPr>
            </w:pPr>
            <w:r>
              <w:rPr>
                <w:rFonts w:hint="eastAsia"/>
              </w:rPr>
              <w:t>3.</w:t>
            </w:r>
            <w:r>
              <w:rPr>
                <w:rFonts w:hint="eastAsia"/>
                <w:lang w:val="en-US" w:eastAsia="zh-CN"/>
              </w:rPr>
              <w:t>24</w:t>
            </w:r>
            <w:r>
              <w:rPr>
                <w:rFonts w:hint="eastAsia"/>
              </w:rPr>
              <w:t xml:space="preserve"> 氮气产量：≥70 L/min</w:t>
            </w:r>
            <w:r>
              <w:rPr>
                <w:rFonts w:hint="eastAsia"/>
                <w:lang w:eastAsia="zh-CN"/>
              </w:rPr>
              <w:t>；</w:t>
            </w:r>
          </w:p>
          <w:p>
            <w:pPr>
              <w:rPr>
                <w:rFonts w:hint="eastAsia" w:eastAsia="宋体"/>
                <w:lang w:eastAsia="zh-CN"/>
              </w:rPr>
            </w:pPr>
            <w:r>
              <w:rPr>
                <w:rFonts w:hint="eastAsia"/>
              </w:rPr>
              <w:t>3.</w:t>
            </w:r>
            <w:r>
              <w:rPr>
                <w:rFonts w:hint="eastAsia"/>
                <w:lang w:val="en-US" w:eastAsia="zh-CN"/>
              </w:rPr>
              <w:t>25</w:t>
            </w:r>
            <w:r>
              <w:rPr>
                <w:rFonts w:hint="eastAsia"/>
              </w:rPr>
              <w:t xml:space="preserve"> 操作温度：5℃ - 35℃</w:t>
            </w:r>
            <w:r>
              <w:rPr>
                <w:rFonts w:hint="eastAsia"/>
                <w:lang w:eastAsia="zh-CN"/>
              </w:rPr>
              <w:t>；</w:t>
            </w:r>
          </w:p>
          <w:p>
            <w:pPr>
              <w:rPr>
                <w:rFonts w:hint="eastAsia" w:eastAsia="宋体"/>
                <w:lang w:eastAsia="zh-CN"/>
              </w:rPr>
            </w:pPr>
            <w:r>
              <w:rPr>
                <w:rFonts w:hint="eastAsia"/>
              </w:rPr>
              <w:t>3.</w:t>
            </w:r>
            <w:r>
              <w:rPr>
                <w:rFonts w:hint="eastAsia"/>
                <w:lang w:val="en-US" w:eastAsia="zh-CN"/>
              </w:rPr>
              <w:t>26</w:t>
            </w:r>
            <w:r>
              <w:rPr>
                <w:rFonts w:hint="eastAsia"/>
              </w:rPr>
              <w:t xml:space="preserve"> 噪声水平：≤54 dB(A) @ 1 m</w:t>
            </w:r>
            <w:r>
              <w:rPr>
                <w:rFonts w:hint="eastAsia"/>
                <w:lang w:eastAsia="zh-CN"/>
              </w:rPr>
              <w:t>；</w:t>
            </w:r>
          </w:p>
          <w:p>
            <w:pPr>
              <w:rPr>
                <w:rFonts w:hint="eastAsia"/>
              </w:rPr>
            </w:pPr>
            <w:r>
              <w:rPr>
                <w:rFonts w:hint="eastAsia"/>
              </w:rPr>
              <w:t>（5）质谱工作站软件</w:t>
            </w:r>
          </w:p>
          <w:p>
            <w:pPr>
              <w:rPr>
                <w:rFonts w:hint="eastAsia"/>
              </w:rPr>
            </w:pPr>
            <w:r>
              <w:rPr>
                <w:rFonts w:hint="eastAsia"/>
              </w:rPr>
              <w:t>3.</w:t>
            </w:r>
            <w:r>
              <w:rPr>
                <w:rFonts w:hint="eastAsia"/>
                <w:lang w:val="en-US" w:eastAsia="zh-CN"/>
              </w:rPr>
              <w:t>27</w:t>
            </w:r>
            <w:r>
              <w:rPr>
                <w:rFonts w:hint="eastAsia"/>
              </w:rPr>
              <w:t xml:space="preserve"> 全自动调谐系统，内置调谐液，调谐液自动输送，自动参数优化，无需蠕动泵，无需手动步骤；</w:t>
            </w:r>
          </w:p>
          <w:p>
            <w:pPr>
              <w:rPr>
                <w:rFonts w:hint="eastAsia"/>
              </w:rPr>
            </w:pPr>
            <w:r>
              <w:rPr>
                <w:rFonts w:hint="eastAsia"/>
              </w:rPr>
              <w:t>3.</w:t>
            </w:r>
            <w:r>
              <w:rPr>
                <w:rFonts w:hint="eastAsia"/>
                <w:lang w:val="en-US" w:eastAsia="zh-CN"/>
              </w:rPr>
              <w:t>28</w:t>
            </w:r>
            <w:r>
              <w:rPr>
                <w:rFonts w:hint="eastAsia"/>
              </w:rPr>
              <w:t xml:space="preserve"> 多化合物同时监测时，无需手动设定时间窗口，采用该方法一次可同时监测</w:t>
            </w:r>
            <w:r>
              <w:rPr>
                <w:rFonts w:hint="eastAsia"/>
                <w:lang w:val="en-US" w:eastAsia="zh-CN"/>
              </w:rPr>
              <w:t>1</w:t>
            </w:r>
            <w:r>
              <w:rPr>
                <w:rFonts w:hint="eastAsia"/>
              </w:rPr>
              <w:t>000个MRM；</w:t>
            </w:r>
          </w:p>
          <w:p>
            <w:pPr>
              <w:rPr>
                <w:rFonts w:hint="eastAsia"/>
              </w:rPr>
            </w:pPr>
            <w:r>
              <w:rPr>
                <w:rFonts w:hint="eastAsia"/>
              </w:rPr>
              <w:t>（6）环境水中有机物解决方案</w:t>
            </w:r>
          </w:p>
          <w:p>
            <w:pPr>
              <w:rPr>
                <w:rFonts w:hint="eastAsia" w:eastAsia="宋体"/>
                <w:lang w:eastAsia="zh-CN"/>
              </w:rPr>
            </w:pPr>
            <w:r>
              <w:rPr>
                <w:rFonts w:hint="eastAsia"/>
              </w:rPr>
              <w:t>3.</w:t>
            </w:r>
            <w:r>
              <w:rPr>
                <w:rFonts w:hint="eastAsia"/>
                <w:lang w:val="en-US" w:eastAsia="zh-CN"/>
              </w:rPr>
              <w:t>29</w:t>
            </w:r>
            <w:r>
              <w:rPr>
                <w:rFonts w:hint="eastAsia"/>
              </w:rPr>
              <w:t xml:space="preserve"> 须完成《重点管控新污染物清单》（2023版）GCMS和LCMS/MS方法的的开发，方法开发内容包括前处理、曲线、检出限、精密度和准确度等，并提供实验所需要的标准品、试剂耗材</w:t>
            </w:r>
            <w:r>
              <w:rPr>
                <w:rFonts w:hint="eastAsia"/>
                <w:lang w:eastAsia="zh-CN"/>
              </w:rPr>
              <w:t>；</w:t>
            </w:r>
          </w:p>
          <w:p>
            <w:pPr>
              <w:rPr>
                <w:rFonts w:hint="eastAsia"/>
              </w:rPr>
            </w:pPr>
            <w:r>
              <w:rPr>
                <w:rFonts w:hint="eastAsia"/>
              </w:rPr>
              <w:t>（7）控制软件与输出</w:t>
            </w:r>
          </w:p>
          <w:p>
            <w:pPr>
              <w:rPr>
                <w:rFonts w:hint="eastAsia" w:eastAsia="宋体"/>
                <w:lang w:eastAsia="zh-CN"/>
              </w:rPr>
            </w:pPr>
            <w:r>
              <w:rPr>
                <w:rFonts w:hint="eastAsia"/>
              </w:rPr>
              <w:t>3.</w:t>
            </w:r>
            <w:r>
              <w:rPr>
                <w:rFonts w:hint="eastAsia"/>
                <w:lang w:val="en-US" w:eastAsia="zh-CN"/>
              </w:rPr>
              <w:t>30</w:t>
            </w:r>
            <w:r>
              <w:rPr>
                <w:rFonts w:hint="eastAsia"/>
              </w:rPr>
              <w:t>化学工作站配置要求：CPU不低于第十一代i7处理器，运行内存不低于32G，显存不低于4G，至少1TB固态硬盘和1TB机械硬盘，DVD 刻录光驱，USB型号不低于3.0；显示器尺寸：不低于27英寸，带原装正版的操作系统、正版办公软件</w:t>
            </w:r>
            <w:r>
              <w:rPr>
                <w:rFonts w:hint="eastAsia"/>
                <w:lang w:eastAsia="zh-CN"/>
              </w:rPr>
              <w:t>、</w:t>
            </w:r>
            <w:r>
              <w:rPr>
                <w:rFonts w:hint="eastAsia"/>
              </w:rPr>
              <w:t>液质分析软件包，数据输出设备，具有激光双面输出功能，具体可根据原厂配套的设备基础上通过增加硬件实现本条配置要求</w:t>
            </w:r>
            <w:r>
              <w:rPr>
                <w:rFonts w:hint="eastAsia"/>
                <w:lang w:eastAsia="zh-CN"/>
              </w:rPr>
              <w:t>；</w:t>
            </w:r>
          </w:p>
          <w:p>
            <w:pPr>
              <w:rPr>
                <w:rFonts w:hint="eastAsia"/>
              </w:rPr>
            </w:pPr>
            <w:r>
              <w:rPr>
                <w:rFonts w:hint="eastAsia"/>
              </w:rPr>
              <w:t>3.</w:t>
            </w:r>
            <w:r>
              <w:rPr>
                <w:rFonts w:hint="eastAsia"/>
                <w:lang w:val="en-US" w:eastAsia="zh-CN"/>
              </w:rPr>
              <w:t xml:space="preserve">31 </w:t>
            </w:r>
            <w:r>
              <w:rPr>
                <w:rFonts w:hint="eastAsia"/>
              </w:rPr>
              <w:t>2TB移动硬盘 1个</w:t>
            </w:r>
          </w:p>
          <w:p>
            <w:pPr>
              <w:rPr>
                <w:rFonts w:hint="eastAsia" w:eastAsia="宋体"/>
                <w:lang w:eastAsia="zh-CN"/>
              </w:rPr>
            </w:pPr>
            <w:r>
              <w:rPr>
                <w:rFonts w:hint="eastAsia"/>
              </w:rPr>
              <w:t>3.</w:t>
            </w:r>
            <w:r>
              <w:rPr>
                <w:rFonts w:hint="eastAsia"/>
                <w:lang w:val="en-US" w:eastAsia="zh-CN"/>
              </w:rPr>
              <w:t>32</w:t>
            </w:r>
            <w:r>
              <w:rPr>
                <w:rFonts w:hint="eastAsia"/>
              </w:rPr>
              <w:t xml:space="preserve"> 可移动端工作站配置要求：CPU不低于第十三代i7处理器，运行内存不低于32G，双内存插槽，不少于1TB固态硬盘，可升级硬盘内存设计，集成显卡，不低于14英寸，屏幕分辨率不少于2.5K，HDMI接口，支持WIFI和蓝牙，续航时间大于8小时，带原装正版的操作系统、正版办公软件</w:t>
            </w:r>
            <w:r>
              <w:rPr>
                <w:rFonts w:hint="eastAsia"/>
                <w:lang w:eastAsia="zh-CN"/>
              </w:rPr>
              <w:t>，</w:t>
            </w:r>
            <w:r>
              <w:rPr>
                <w:rFonts w:hint="eastAsia"/>
              </w:rPr>
              <w:t>匹配登陆lims系统</w:t>
            </w:r>
            <w:r>
              <w:rPr>
                <w:rFonts w:hint="eastAsia"/>
                <w:lang w:eastAsia="zh-CN"/>
              </w:rPr>
              <w:t>；</w:t>
            </w:r>
          </w:p>
          <w:p>
            <w:r>
              <w:rPr>
                <w:rFonts w:hint="eastAsia"/>
              </w:rPr>
              <w:t>3.</w:t>
            </w:r>
            <w:r>
              <w:rPr>
                <w:rFonts w:hint="eastAsia"/>
                <w:lang w:val="en-US" w:eastAsia="zh-CN"/>
              </w:rPr>
              <w:t>33</w:t>
            </w:r>
            <w:r>
              <w:rPr>
                <w:rFonts w:hint="eastAsia"/>
              </w:rPr>
              <w:t xml:space="preserve"> 液相色谱质谱联用仪需按照中山市生态环境监控中心lims系统要求接入实验室全过程管理系统，自动获取仪器设备数据，中标人或原厂仪器设备厂商需具备具有熟练掌握仪器及数据接口维修、维护能力，具有分析仪器、通讯技术、计算机技术及软件开发的综合能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tc>
        <w:tc>
          <w:tcPr>
            <w:tcW w:w="709" w:type="dxa"/>
          </w:tcPr>
          <w:p>
            <w:r>
              <w:rPr>
                <w:rFonts w:hint="eastAsia"/>
              </w:rPr>
              <w:t>4</w:t>
            </w:r>
          </w:p>
        </w:tc>
        <w:tc>
          <w:tcPr>
            <w:tcW w:w="6081" w:type="dxa"/>
          </w:tcPr>
          <w:p>
            <w:pPr>
              <w:rPr>
                <w:rFonts w:hint="eastAsia"/>
                <w:b/>
              </w:rPr>
            </w:pPr>
            <w:r>
              <w:rPr>
                <w:rFonts w:hint="eastAsia"/>
                <w:b/>
              </w:rPr>
              <w:t>4. 配置清单</w:t>
            </w:r>
          </w:p>
          <w:p>
            <w:pPr>
              <w:rPr>
                <w:rFonts w:hint="eastAsia"/>
              </w:rPr>
            </w:pPr>
            <w:r>
              <w:rPr>
                <w:rFonts w:hint="eastAsia"/>
              </w:rPr>
              <w:t>本仪器系统须包含保证系统正常运行的配件，须包括但不限于下表内容：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4150"/>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3" w:type="dxa"/>
                  <w:vAlign w:val="center"/>
                </w:tcPr>
                <w:p>
                  <w:pPr>
                    <w:adjustRightInd w:val="0"/>
                    <w:snapToGrid w:val="0"/>
                    <w:spacing w:line="360" w:lineRule="auto"/>
                    <w:jc w:val="center"/>
                    <w:rPr>
                      <w:rFonts w:ascii="宋体" w:hAnsi="宋体"/>
                      <w:b/>
                      <w:bCs/>
                      <w:kern w:val="0"/>
                      <w:szCs w:val="21"/>
                    </w:rPr>
                  </w:pPr>
                  <w:r>
                    <w:rPr>
                      <w:rFonts w:ascii="宋体" w:hAnsi="宋体"/>
                      <w:b/>
                      <w:bCs/>
                      <w:kern w:val="0"/>
                      <w:szCs w:val="21"/>
                    </w:rPr>
                    <w:t>序号</w:t>
                  </w:r>
                </w:p>
              </w:tc>
              <w:tc>
                <w:tcPr>
                  <w:tcW w:w="4150" w:type="dxa"/>
                  <w:vAlign w:val="center"/>
                </w:tcPr>
                <w:p>
                  <w:pPr>
                    <w:adjustRightInd w:val="0"/>
                    <w:snapToGrid w:val="0"/>
                    <w:spacing w:line="360" w:lineRule="auto"/>
                    <w:jc w:val="center"/>
                    <w:rPr>
                      <w:rFonts w:ascii="宋体" w:hAnsi="宋体"/>
                      <w:b/>
                      <w:bCs/>
                      <w:kern w:val="0"/>
                      <w:szCs w:val="21"/>
                    </w:rPr>
                  </w:pPr>
                  <w:r>
                    <w:rPr>
                      <w:rFonts w:ascii="宋体" w:hAnsi="宋体"/>
                      <w:b/>
                      <w:bCs/>
                      <w:kern w:val="0"/>
                      <w:szCs w:val="21"/>
                    </w:rPr>
                    <w:t>名称</w:t>
                  </w:r>
                </w:p>
              </w:tc>
              <w:tc>
                <w:tcPr>
                  <w:tcW w:w="1092" w:type="dxa"/>
                  <w:vAlign w:val="center"/>
                </w:tcPr>
                <w:p>
                  <w:pPr>
                    <w:adjustRightInd w:val="0"/>
                    <w:snapToGrid w:val="0"/>
                    <w:spacing w:line="360" w:lineRule="auto"/>
                    <w:jc w:val="center"/>
                    <w:rPr>
                      <w:rFonts w:ascii="宋体" w:hAnsi="宋体"/>
                      <w:b/>
                      <w:bCs/>
                      <w:kern w:val="0"/>
                      <w:szCs w:val="21"/>
                    </w:rPr>
                  </w:pPr>
                  <w:r>
                    <w:rPr>
                      <w:rFonts w:ascii="宋体" w:hAnsi="宋体"/>
                      <w:b/>
                      <w:bCs/>
                      <w:kern w:val="0"/>
                      <w:szCs w:val="21"/>
                    </w:rPr>
                    <w:t>数量不低于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3" w:type="dxa"/>
                  <w:vAlign w:val="center"/>
                </w:tcPr>
                <w:p>
                  <w:pPr>
                    <w:adjustRightInd w:val="0"/>
                    <w:snapToGrid w:val="0"/>
                    <w:spacing w:line="360" w:lineRule="auto"/>
                    <w:jc w:val="center"/>
                    <w:rPr>
                      <w:rFonts w:ascii="宋体" w:hAnsi="宋体"/>
                      <w:kern w:val="0"/>
                      <w:szCs w:val="21"/>
                    </w:rPr>
                  </w:pPr>
                  <w:r>
                    <w:rPr>
                      <w:rFonts w:ascii="宋体" w:hAnsi="宋体"/>
                      <w:kern w:val="0"/>
                      <w:szCs w:val="21"/>
                    </w:rPr>
                    <w:t>1</w:t>
                  </w:r>
                </w:p>
              </w:tc>
              <w:tc>
                <w:tcPr>
                  <w:tcW w:w="4150" w:type="dxa"/>
                  <w:vAlign w:val="center"/>
                </w:tcPr>
                <w:p>
                  <w:pPr>
                    <w:adjustRightInd w:val="0"/>
                    <w:snapToGrid w:val="0"/>
                    <w:spacing w:line="360" w:lineRule="auto"/>
                    <w:jc w:val="left"/>
                    <w:rPr>
                      <w:rFonts w:ascii="宋体" w:hAnsi="宋体"/>
                      <w:kern w:val="0"/>
                      <w:szCs w:val="21"/>
                    </w:rPr>
                  </w:pPr>
                  <w:r>
                    <w:rPr>
                      <w:rFonts w:ascii="宋体" w:hAnsi="宋体"/>
                      <w:szCs w:val="21"/>
                    </w:rPr>
                    <w:t>超高效液相三重四极杆串联质谱主机1台</w:t>
                  </w:r>
                  <w:r>
                    <w:rPr>
                      <w:rFonts w:hint="eastAsia" w:ascii="宋体" w:hAnsi="宋体"/>
                      <w:szCs w:val="21"/>
                      <w:lang w:eastAsia="zh-CN"/>
                    </w:rPr>
                    <w:t>：</w:t>
                  </w:r>
                  <w:r>
                    <w:rPr>
                      <w:rFonts w:ascii="宋体" w:hAnsi="宋体"/>
                      <w:szCs w:val="21"/>
                    </w:rPr>
                    <w:t>(配置ESI源和APCI源)</w:t>
                  </w:r>
                </w:p>
              </w:tc>
              <w:tc>
                <w:tcPr>
                  <w:tcW w:w="1092" w:type="dxa"/>
                  <w:vAlign w:val="center"/>
                </w:tcPr>
                <w:p>
                  <w:pPr>
                    <w:adjustRightInd w:val="0"/>
                    <w:snapToGrid w:val="0"/>
                    <w:spacing w:line="360" w:lineRule="auto"/>
                    <w:jc w:val="center"/>
                    <w:rPr>
                      <w:rFonts w:ascii="宋体" w:hAnsi="宋体"/>
                      <w:kern w:val="0"/>
                      <w:szCs w:val="21"/>
                    </w:rPr>
                  </w:pPr>
                  <w:r>
                    <w:rPr>
                      <w:rFonts w:ascii="宋体" w:hAnsi="宋体"/>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3" w:type="dxa"/>
                  <w:vAlign w:val="center"/>
                </w:tcPr>
                <w:p>
                  <w:pPr>
                    <w:adjustRightInd w:val="0"/>
                    <w:snapToGrid w:val="0"/>
                    <w:spacing w:line="360" w:lineRule="auto"/>
                    <w:jc w:val="center"/>
                    <w:rPr>
                      <w:rFonts w:hint="eastAsia" w:ascii="宋体" w:hAnsi="宋体" w:eastAsia="宋体"/>
                      <w:kern w:val="0"/>
                      <w:szCs w:val="21"/>
                      <w:lang w:eastAsia="zh-CN"/>
                    </w:rPr>
                  </w:pPr>
                  <w:r>
                    <w:rPr>
                      <w:rFonts w:hint="eastAsia" w:ascii="宋体" w:hAnsi="宋体"/>
                      <w:kern w:val="0"/>
                      <w:szCs w:val="21"/>
                      <w:lang w:val="en-US" w:eastAsia="zh-CN"/>
                    </w:rPr>
                    <w:t>2</w:t>
                  </w:r>
                </w:p>
              </w:tc>
              <w:tc>
                <w:tcPr>
                  <w:tcW w:w="4150" w:type="dxa"/>
                  <w:vAlign w:val="center"/>
                </w:tcPr>
                <w:p>
                  <w:pPr>
                    <w:adjustRightInd w:val="0"/>
                    <w:snapToGrid w:val="0"/>
                    <w:spacing w:line="360" w:lineRule="auto"/>
                    <w:jc w:val="left"/>
                    <w:rPr>
                      <w:rFonts w:ascii="宋体" w:hAnsi="宋体"/>
                      <w:szCs w:val="21"/>
                    </w:rPr>
                  </w:pPr>
                  <w:r>
                    <w:rPr>
                      <w:rFonts w:hint="eastAsia" w:ascii="宋体" w:hAnsi="宋体"/>
                      <w:szCs w:val="21"/>
                    </w:rPr>
                    <w:t>在线固相萃取（SPE）进样系统1套：包括</w:t>
                  </w:r>
                  <w:r>
                    <w:rPr>
                      <w:rFonts w:hint="eastAsia" w:ascii="宋体" w:hAnsi="宋体"/>
                      <w:szCs w:val="21"/>
                      <w:lang w:val="en-US" w:eastAsia="zh-CN"/>
                    </w:rPr>
                    <w:t>在线固相萃取、</w:t>
                  </w:r>
                  <w:r>
                    <w:rPr>
                      <w:rFonts w:hint="eastAsia" w:ascii="宋体" w:hAnsi="宋体"/>
                      <w:szCs w:val="21"/>
                    </w:rPr>
                    <w:t>大体积自动进样器</w:t>
                  </w:r>
                  <w:r>
                    <w:rPr>
                      <w:rFonts w:hint="eastAsia" w:ascii="宋体" w:hAnsi="宋体"/>
                      <w:szCs w:val="21"/>
                      <w:lang w:eastAsia="zh-CN"/>
                    </w:rPr>
                    <w:t>、</w:t>
                  </w:r>
                  <w:r>
                    <w:rPr>
                      <w:rFonts w:hint="eastAsia" w:ascii="宋体" w:hAnsi="宋体"/>
                      <w:szCs w:val="21"/>
                    </w:rPr>
                    <w:t>液体直接进样器及相关样品盘（有此功能仪器需配制，无此功能仪器无需配制）。</w:t>
                  </w:r>
                </w:p>
              </w:tc>
              <w:tc>
                <w:tcPr>
                  <w:tcW w:w="1092" w:type="dxa"/>
                  <w:vAlign w:val="center"/>
                </w:tcPr>
                <w:p>
                  <w:pPr>
                    <w:adjustRightInd w:val="0"/>
                    <w:snapToGrid w:val="0"/>
                    <w:spacing w:line="360" w:lineRule="auto"/>
                    <w:jc w:val="center"/>
                    <w:rPr>
                      <w:rFonts w:ascii="宋体" w:hAnsi="宋体"/>
                      <w:kern w:val="0"/>
                      <w:szCs w:val="21"/>
                    </w:rPr>
                  </w:pPr>
                  <w:r>
                    <w:rPr>
                      <w:rFonts w:ascii="宋体" w:hAnsi="宋体"/>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3" w:type="dxa"/>
                  <w:vAlign w:val="center"/>
                </w:tcPr>
                <w:p>
                  <w:pPr>
                    <w:adjustRightInd w:val="0"/>
                    <w:snapToGrid w:val="0"/>
                    <w:spacing w:line="360" w:lineRule="auto"/>
                    <w:jc w:val="center"/>
                    <w:rPr>
                      <w:rFonts w:hint="eastAsia" w:ascii="宋体" w:hAnsi="宋体" w:eastAsia="宋体"/>
                      <w:kern w:val="0"/>
                      <w:szCs w:val="21"/>
                      <w:lang w:eastAsia="zh-CN"/>
                    </w:rPr>
                  </w:pPr>
                  <w:r>
                    <w:rPr>
                      <w:rFonts w:hint="eastAsia" w:ascii="宋体" w:hAnsi="宋体"/>
                      <w:kern w:val="0"/>
                      <w:szCs w:val="21"/>
                      <w:lang w:val="en-US" w:eastAsia="zh-CN"/>
                    </w:rPr>
                    <w:t>3</w:t>
                  </w:r>
                </w:p>
              </w:tc>
              <w:tc>
                <w:tcPr>
                  <w:tcW w:w="4150" w:type="dxa"/>
                  <w:vAlign w:val="center"/>
                </w:tcPr>
                <w:p>
                  <w:pPr>
                    <w:adjustRightInd w:val="0"/>
                    <w:snapToGrid w:val="0"/>
                    <w:spacing w:line="360" w:lineRule="auto"/>
                    <w:jc w:val="left"/>
                    <w:rPr>
                      <w:rFonts w:ascii="宋体" w:hAnsi="宋体"/>
                      <w:kern w:val="0"/>
                      <w:szCs w:val="21"/>
                    </w:rPr>
                  </w:pPr>
                  <w:r>
                    <w:rPr>
                      <w:rFonts w:ascii="宋体" w:hAnsi="宋体"/>
                      <w:szCs w:val="21"/>
                    </w:rPr>
                    <w:t>保证仪器正常运行的气体发生器,至少包括：空压机、储气罐、及管路</w:t>
                  </w:r>
                </w:p>
              </w:tc>
              <w:tc>
                <w:tcPr>
                  <w:tcW w:w="1092" w:type="dxa"/>
                  <w:vAlign w:val="center"/>
                </w:tcPr>
                <w:p>
                  <w:pPr>
                    <w:adjustRightInd w:val="0"/>
                    <w:snapToGrid w:val="0"/>
                    <w:spacing w:line="360" w:lineRule="auto"/>
                    <w:jc w:val="center"/>
                    <w:rPr>
                      <w:rFonts w:ascii="宋体" w:hAnsi="宋体"/>
                      <w:kern w:val="0"/>
                      <w:szCs w:val="21"/>
                    </w:rPr>
                  </w:pPr>
                  <w:r>
                    <w:rPr>
                      <w:rFonts w:ascii="宋体" w:hAnsi="宋体"/>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3" w:type="dxa"/>
                  <w:vAlign w:val="center"/>
                </w:tcPr>
                <w:p>
                  <w:pPr>
                    <w:adjustRightInd w:val="0"/>
                    <w:snapToGrid w:val="0"/>
                    <w:spacing w:line="360" w:lineRule="auto"/>
                    <w:jc w:val="center"/>
                    <w:rPr>
                      <w:rFonts w:hint="eastAsia" w:ascii="宋体" w:hAnsi="宋体" w:eastAsia="宋体"/>
                      <w:kern w:val="0"/>
                      <w:szCs w:val="21"/>
                      <w:lang w:eastAsia="zh-CN"/>
                    </w:rPr>
                  </w:pPr>
                  <w:r>
                    <w:rPr>
                      <w:rFonts w:hint="eastAsia" w:ascii="宋体" w:hAnsi="宋体"/>
                      <w:kern w:val="0"/>
                      <w:szCs w:val="21"/>
                      <w:lang w:val="en-US" w:eastAsia="zh-CN"/>
                    </w:rPr>
                    <w:t>4</w:t>
                  </w:r>
                </w:p>
              </w:tc>
              <w:tc>
                <w:tcPr>
                  <w:tcW w:w="4150" w:type="dxa"/>
                  <w:vAlign w:val="center"/>
                </w:tcPr>
                <w:p>
                  <w:pPr>
                    <w:adjustRightInd w:val="0"/>
                    <w:snapToGrid w:val="0"/>
                    <w:spacing w:line="360" w:lineRule="auto"/>
                    <w:jc w:val="left"/>
                    <w:rPr>
                      <w:rFonts w:ascii="宋体" w:hAnsi="宋体"/>
                      <w:szCs w:val="21"/>
                    </w:rPr>
                  </w:pPr>
                  <w:r>
                    <w:rPr>
                      <w:rFonts w:hint="eastAsia" w:ascii="宋体" w:hAnsi="宋体"/>
                      <w:szCs w:val="21"/>
                    </w:rPr>
                    <w:t>工作站</w:t>
                  </w:r>
                  <w:r>
                    <w:rPr>
                      <w:rFonts w:ascii="宋体" w:hAnsi="宋体"/>
                      <w:szCs w:val="21"/>
                    </w:rPr>
                    <w:t>（含硬件、正版操作系统、正版办公软件等及配套液质工作软件）</w:t>
                  </w:r>
                </w:p>
              </w:tc>
              <w:tc>
                <w:tcPr>
                  <w:tcW w:w="1092" w:type="dxa"/>
                  <w:vAlign w:val="center"/>
                </w:tcPr>
                <w:p>
                  <w:pPr>
                    <w:adjustRightInd w:val="0"/>
                    <w:snapToGrid w:val="0"/>
                    <w:spacing w:line="360" w:lineRule="auto"/>
                    <w:jc w:val="center"/>
                    <w:rPr>
                      <w:rFonts w:ascii="宋体" w:hAnsi="宋体"/>
                      <w:szCs w:val="21"/>
                    </w:rPr>
                  </w:pPr>
                  <w:r>
                    <w:rPr>
                      <w:rFonts w:ascii="宋体" w:hAnsi="宋体"/>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3" w:type="dxa"/>
                  <w:vAlign w:val="center"/>
                </w:tcPr>
                <w:p>
                  <w:pPr>
                    <w:adjustRightInd w:val="0"/>
                    <w:snapToGrid w:val="0"/>
                    <w:spacing w:line="360" w:lineRule="auto"/>
                    <w:jc w:val="center"/>
                    <w:rPr>
                      <w:rFonts w:hint="eastAsia" w:ascii="宋体" w:hAnsi="宋体" w:eastAsia="宋体"/>
                      <w:kern w:val="0"/>
                      <w:szCs w:val="21"/>
                      <w:lang w:eastAsia="zh-CN"/>
                    </w:rPr>
                  </w:pPr>
                  <w:r>
                    <w:rPr>
                      <w:rFonts w:hint="eastAsia" w:ascii="宋体" w:hAnsi="宋体"/>
                      <w:kern w:val="0"/>
                      <w:szCs w:val="21"/>
                      <w:lang w:val="en-US" w:eastAsia="zh-CN"/>
                    </w:rPr>
                    <w:t>5</w:t>
                  </w:r>
                </w:p>
              </w:tc>
              <w:tc>
                <w:tcPr>
                  <w:tcW w:w="4150" w:type="dxa"/>
                  <w:vAlign w:val="center"/>
                </w:tcPr>
                <w:p>
                  <w:pPr>
                    <w:adjustRightInd w:val="0"/>
                    <w:snapToGrid w:val="0"/>
                    <w:spacing w:line="360" w:lineRule="auto"/>
                    <w:jc w:val="left"/>
                    <w:rPr>
                      <w:rFonts w:ascii="宋体" w:hAnsi="宋体"/>
                      <w:szCs w:val="21"/>
                    </w:rPr>
                  </w:pPr>
                  <w:r>
                    <w:rPr>
                      <w:rFonts w:hint="eastAsia" w:ascii="宋体" w:hAnsi="宋体"/>
                      <w:szCs w:val="21"/>
                    </w:rPr>
                    <w:t>数据双面激光</w:t>
                  </w:r>
                  <w:r>
                    <w:rPr>
                      <w:rFonts w:ascii="宋体" w:hAnsi="宋体"/>
                      <w:szCs w:val="21"/>
                    </w:rPr>
                    <w:t>输出系统</w:t>
                  </w:r>
                </w:p>
              </w:tc>
              <w:tc>
                <w:tcPr>
                  <w:tcW w:w="1092" w:type="dxa"/>
                  <w:vAlign w:val="center"/>
                </w:tcPr>
                <w:p>
                  <w:pPr>
                    <w:adjustRightInd w:val="0"/>
                    <w:snapToGrid w:val="0"/>
                    <w:spacing w:line="360" w:lineRule="auto"/>
                    <w:jc w:val="center"/>
                    <w:rPr>
                      <w:rFonts w:ascii="宋体" w:hAnsi="宋体"/>
                      <w:szCs w:val="21"/>
                    </w:rPr>
                  </w:pPr>
                  <w:r>
                    <w:rPr>
                      <w:rFonts w:ascii="宋体" w:hAnsi="宋体"/>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3" w:type="dxa"/>
                  <w:vAlign w:val="center"/>
                </w:tcPr>
                <w:p>
                  <w:pPr>
                    <w:adjustRightInd w:val="0"/>
                    <w:snapToGrid w:val="0"/>
                    <w:spacing w:line="360" w:lineRule="auto"/>
                    <w:jc w:val="center"/>
                    <w:rPr>
                      <w:rFonts w:hint="eastAsia" w:ascii="宋体" w:hAnsi="宋体" w:eastAsia="宋体"/>
                      <w:kern w:val="0"/>
                      <w:szCs w:val="21"/>
                      <w:lang w:eastAsia="zh-CN"/>
                    </w:rPr>
                  </w:pPr>
                  <w:r>
                    <w:rPr>
                      <w:rFonts w:hint="eastAsia" w:ascii="宋体" w:hAnsi="宋体"/>
                      <w:kern w:val="0"/>
                      <w:szCs w:val="21"/>
                      <w:lang w:val="en-US" w:eastAsia="zh-CN"/>
                    </w:rPr>
                    <w:t>6</w:t>
                  </w:r>
                </w:p>
              </w:tc>
              <w:tc>
                <w:tcPr>
                  <w:tcW w:w="4150" w:type="dxa"/>
                  <w:vAlign w:val="center"/>
                </w:tcPr>
                <w:p>
                  <w:pPr>
                    <w:adjustRightInd w:val="0"/>
                    <w:snapToGrid w:val="0"/>
                    <w:spacing w:line="360" w:lineRule="auto"/>
                    <w:jc w:val="left"/>
                    <w:rPr>
                      <w:rFonts w:ascii="宋体" w:hAnsi="宋体"/>
                      <w:kern w:val="0"/>
                      <w:szCs w:val="21"/>
                    </w:rPr>
                  </w:pPr>
                  <w:r>
                    <w:rPr>
                      <w:rFonts w:ascii="宋体" w:hAnsi="宋体"/>
                      <w:szCs w:val="21"/>
                    </w:rPr>
                    <w:t>不间断电源，10KVA</w:t>
                  </w:r>
                </w:p>
              </w:tc>
              <w:tc>
                <w:tcPr>
                  <w:tcW w:w="1092" w:type="dxa"/>
                  <w:vAlign w:val="center"/>
                </w:tcPr>
                <w:p>
                  <w:pPr>
                    <w:adjustRightInd w:val="0"/>
                    <w:snapToGrid w:val="0"/>
                    <w:spacing w:line="360" w:lineRule="auto"/>
                    <w:jc w:val="center"/>
                    <w:rPr>
                      <w:rFonts w:ascii="宋体" w:hAnsi="宋体"/>
                      <w:kern w:val="0"/>
                      <w:szCs w:val="21"/>
                    </w:rPr>
                  </w:pPr>
                  <w:r>
                    <w:rPr>
                      <w:rFonts w:ascii="宋体" w:hAnsi="宋体"/>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3" w:type="dxa"/>
                  <w:vAlign w:val="center"/>
                </w:tcPr>
                <w:p>
                  <w:pPr>
                    <w:adjustRightInd w:val="0"/>
                    <w:snapToGrid w:val="0"/>
                    <w:spacing w:line="360" w:lineRule="auto"/>
                    <w:jc w:val="center"/>
                    <w:rPr>
                      <w:rFonts w:hint="eastAsia" w:ascii="宋体" w:hAnsi="宋体" w:eastAsia="宋体"/>
                      <w:kern w:val="0"/>
                      <w:szCs w:val="21"/>
                      <w:lang w:eastAsia="zh-CN"/>
                    </w:rPr>
                  </w:pPr>
                  <w:r>
                    <w:rPr>
                      <w:rFonts w:hint="eastAsia" w:ascii="宋体" w:hAnsi="宋体"/>
                      <w:kern w:val="0"/>
                      <w:szCs w:val="21"/>
                      <w:lang w:val="en-US" w:eastAsia="zh-CN"/>
                    </w:rPr>
                    <w:t>7</w:t>
                  </w:r>
                </w:p>
              </w:tc>
              <w:tc>
                <w:tcPr>
                  <w:tcW w:w="4150" w:type="dxa"/>
                  <w:vAlign w:val="center"/>
                </w:tcPr>
                <w:p>
                  <w:pPr>
                    <w:adjustRightInd w:val="0"/>
                    <w:snapToGrid w:val="0"/>
                    <w:spacing w:line="360" w:lineRule="auto"/>
                    <w:jc w:val="left"/>
                    <w:rPr>
                      <w:rFonts w:ascii="宋体" w:hAnsi="宋体"/>
                      <w:kern w:val="0"/>
                      <w:szCs w:val="21"/>
                    </w:rPr>
                  </w:pPr>
                  <w:r>
                    <w:rPr>
                      <w:rFonts w:ascii="宋体" w:hAnsi="宋体"/>
                      <w:szCs w:val="21"/>
                    </w:rPr>
                    <w:t>质谱启用及维护所需工具包。</w:t>
                  </w:r>
                </w:p>
              </w:tc>
              <w:tc>
                <w:tcPr>
                  <w:tcW w:w="1092" w:type="dxa"/>
                  <w:vAlign w:val="center"/>
                </w:tcPr>
                <w:p>
                  <w:pPr>
                    <w:adjustRightInd w:val="0"/>
                    <w:snapToGrid w:val="0"/>
                    <w:spacing w:line="360" w:lineRule="auto"/>
                    <w:jc w:val="center"/>
                    <w:rPr>
                      <w:rFonts w:ascii="宋体" w:hAnsi="宋体"/>
                      <w:kern w:val="0"/>
                      <w:szCs w:val="21"/>
                    </w:rPr>
                  </w:pPr>
                  <w:r>
                    <w:rPr>
                      <w:rFonts w:ascii="宋体" w:hAnsi="宋体"/>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3" w:type="dxa"/>
                  <w:vAlign w:val="center"/>
                </w:tcPr>
                <w:p>
                  <w:pPr>
                    <w:adjustRightInd w:val="0"/>
                    <w:snapToGrid w:val="0"/>
                    <w:spacing w:line="360" w:lineRule="auto"/>
                    <w:jc w:val="center"/>
                    <w:rPr>
                      <w:rFonts w:hint="eastAsia" w:ascii="宋体" w:hAnsi="宋体" w:eastAsia="宋体"/>
                      <w:kern w:val="0"/>
                      <w:szCs w:val="21"/>
                      <w:lang w:eastAsia="zh-CN"/>
                    </w:rPr>
                  </w:pPr>
                  <w:r>
                    <w:rPr>
                      <w:rFonts w:hint="eastAsia" w:ascii="宋体" w:hAnsi="宋体"/>
                      <w:kern w:val="0"/>
                      <w:szCs w:val="21"/>
                      <w:lang w:val="en-US" w:eastAsia="zh-CN"/>
                    </w:rPr>
                    <w:t>8</w:t>
                  </w:r>
                </w:p>
              </w:tc>
              <w:tc>
                <w:tcPr>
                  <w:tcW w:w="4150" w:type="dxa"/>
                  <w:vAlign w:val="center"/>
                </w:tcPr>
                <w:p>
                  <w:pPr>
                    <w:adjustRightInd w:val="0"/>
                    <w:snapToGrid w:val="0"/>
                    <w:spacing w:line="360" w:lineRule="auto"/>
                    <w:jc w:val="left"/>
                    <w:rPr>
                      <w:rFonts w:ascii="宋体" w:hAnsi="宋体"/>
                      <w:kern w:val="0"/>
                      <w:szCs w:val="21"/>
                    </w:rPr>
                  </w:pPr>
                  <w:r>
                    <w:rPr>
                      <w:rFonts w:ascii="宋体" w:hAnsi="宋体"/>
                      <w:szCs w:val="21"/>
                    </w:rPr>
                    <w:t>调谐液及验收所需的测试标液</w:t>
                  </w:r>
                </w:p>
              </w:tc>
              <w:tc>
                <w:tcPr>
                  <w:tcW w:w="1092" w:type="dxa"/>
                  <w:vAlign w:val="center"/>
                </w:tcPr>
                <w:p>
                  <w:pPr>
                    <w:adjustRightInd w:val="0"/>
                    <w:snapToGrid w:val="0"/>
                    <w:spacing w:line="360" w:lineRule="auto"/>
                    <w:jc w:val="center"/>
                    <w:rPr>
                      <w:rFonts w:ascii="宋体" w:hAnsi="宋体"/>
                      <w:kern w:val="0"/>
                      <w:szCs w:val="21"/>
                    </w:rPr>
                  </w:pPr>
                  <w:r>
                    <w:rPr>
                      <w:rFonts w:ascii="宋体" w:hAnsi="宋体"/>
                      <w:kern w:val="0"/>
                      <w:szCs w:val="21"/>
                    </w:rPr>
                    <w:t>1套</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tc>
        <w:tc>
          <w:tcPr>
            <w:tcW w:w="709" w:type="dxa"/>
          </w:tcPr>
          <w:p>
            <w:r>
              <w:rPr>
                <w:rFonts w:hint="eastAsia"/>
              </w:rPr>
              <w:t>5</w:t>
            </w:r>
          </w:p>
        </w:tc>
        <w:tc>
          <w:tcPr>
            <w:tcW w:w="6081" w:type="dxa"/>
          </w:tcPr>
          <w:p>
            <w:pPr>
              <w:rPr>
                <w:rFonts w:hint="eastAsia"/>
                <w:b/>
              </w:rPr>
            </w:pPr>
            <w:r>
              <w:rPr>
                <w:rFonts w:hint="eastAsia"/>
                <w:b/>
              </w:rPr>
              <w:t>5.验收指标</w:t>
            </w:r>
          </w:p>
          <w:p>
            <w:pPr>
              <w:rPr>
                <w:rFonts w:hint="eastAsia"/>
              </w:rPr>
            </w:pPr>
            <w:r>
              <w:rPr>
                <w:rFonts w:hint="eastAsia"/>
              </w:rPr>
              <w:t>5.</w:t>
            </w:r>
            <w:r>
              <w:rPr>
                <w:rFonts w:hint="eastAsia"/>
                <w:lang w:val="en-US" w:eastAsia="zh-CN"/>
              </w:rPr>
              <w:t>1</w:t>
            </w:r>
            <w:r>
              <w:rPr>
                <w:rFonts w:hint="eastAsia"/>
              </w:rPr>
              <w:t>在线SPE系统验收（参照《水质 17 种苯胺类化合物的测定 液相色谱-三重四极杆质谱法》（HJ 1048-2019）技术指标）</w:t>
            </w:r>
          </w:p>
          <w:p>
            <w:pPr>
              <w:rPr>
                <w:rFonts w:hint="default" w:eastAsia="宋体"/>
                <w:lang w:val="en-US" w:eastAsia="zh-CN"/>
              </w:rPr>
            </w:pPr>
            <w:r>
              <w:rPr>
                <w:rFonts w:hint="eastAsia"/>
                <w:lang w:val="en-US" w:eastAsia="zh-CN"/>
              </w:rPr>
              <w:t>5.2 重复性</w:t>
            </w:r>
          </w:p>
          <w:p>
            <w:pPr>
              <w:rPr>
                <w:rFonts w:hint="eastAsia"/>
              </w:rPr>
            </w:pPr>
            <w:r>
              <w:rPr>
                <w:rFonts w:hint="eastAsia"/>
              </w:rPr>
              <w:t>5.</w:t>
            </w:r>
            <w:r>
              <w:rPr>
                <w:rFonts w:hint="eastAsia"/>
                <w:lang w:val="en-US" w:eastAsia="zh-CN"/>
              </w:rPr>
              <w:t>2</w:t>
            </w:r>
            <w:r>
              <w:rPr>
                <w:rFonts w:hint="eastAsia"/>
              </w:rPr>
              <w:t>.1重复性：地表水加标浓度为2.0µg/L，重复进样6次，精密度RSD控制在25%以内。</w:t>
            </w:r>
          </w:p>
          <w:p>
            <w:pPr>
              <w:rPr>
                <w:rFonts w:hint="eastAsia"/>
              </w:rPr>
            </w:pPr>
            <w:r>
              <w:rPr>
                <w:rFonts w:hint="eastAsia"/>
              </w:rPr>
              <w:t>5.</w:t>
            </w:r>
            <w:r>
              <w:rPr>
                <w:rFonts w:hint="eastAsia"/>
                <w:lang w:val="en-US" w:eastAsia="zh-CN"/>
              </w:rPr>
              <w:t>2</w:t>
            </w:r>
            <w:r>
              <w:rPr>
                <w:rFonts w:hint="eastAsia"/>
              </w:rPr>
              <w:t>.2回收率：地表水加标浓度为2.0µg/L，重复进样6次，回收率均在60%-120%之间。</w:t>
            </w:r>
          </w:p>
          <w:p>
            <w:r>
              <w:rPr>
                <w:rFonts w:hint="eastAsia"/>
              </w:rPr>
              <w:t>5.</w:t>
            </w:r>
            <w:r>
              <w:rPr>
                <w:rFonts w:hint="eastAsia"/>
                <w:lang w:val="en-US" w:eastAsia="zh-CN"/>
              </w:rPr>
              <w:t>3</w:t>
            </w:r>
            <w:r>
              <w:rPr>
                <w:rFonts w:hint="eastAsia"/>
              </w:rPr>
              <w:t>仪器校准：依据《液相色谱-质谱联用仪校准规范》JJF1317-2011，由有资质的第三方单位对仪器进行计量校准，并提供校准合格证书。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tc>
        <w:tc>
          <w:tcPr>
            <w:tcW w:w="709" w:type="dxa"/>
          </w:tcPr>
          <w:p>
            <w:pPr>
              <w:rPr>
                <w:rFonts w:hint="eastAsia"/>
              </w:rPr>
            </w:pPr>
            <w:r>
              <w:rPr>
                <w:rFonts w:hint="eastAsia"/>
              </w:rPr>
              <w:t>6</w:t>
            </w:r>
          </w:p>
        </w:tc>
        <w:tc>
          <w:tcPr>
            <w:tcW w:w="6081" w:type="dxa"/>
          </w:tcPr>
          <w:p>
            <w:pPr>
              <w:rPr>
                <w:rFonts w:hint="eastAsia"/>
                <w:b/>
              </w:rPr>
            </w:pPr>
            <w:r>
              <w:rPr>
                <w:rFonts w:hint="eastAsia"/>
                <w:b/>
              </w:rPr>
              <w:t>6.售后服务</w:t>
            </w:r>
          </w:p>
          <w:p>
            <w:pPr>
              <w:rPr>
                <w:rFonts w:hint="eastAsia"/>
              </w:rPr>
            </w:pPr>
            <w:r>
              <w:rPr>
                <w:rFonts w:hint="eastAsia"/>
              </w:rPr>
              <w:t>6.1维修维护：在保修期内，包含所有服务及配件，提供终身维护，长期的应用方法开发；并在验收通过后的每年内对客户进行至少一次的回访及维护。</w:t>
            </w:r>
          </w:p>
          <w:p>
            <w:pPr>
              <w:rPr>
                <w:rFonts w:hint="eastAsia"/>
              </w:rPr>
            </w:pPr>
            <w:r>
              <w:rPr>
                <w:rFonts w:hint="eastAsia"/>
              </w:rPr>
              <w:t>6.</w:t>
            </w:r>
            <w:r>
              <w:rPr>
                <w:rFonts w:hint="eastAsia"/>
                <w:lang w:val="en-US" w:eastAsia="zh-CN"/>
              </w:rPr>
              <w:t>2</w:t>
            </w:r>
            <w:r>
              <w:rPr>
                <w:rFonts w:hint="eastAsia"/>
              </w:rPr>
              <w:t xml:space="preserve">  2024年内（从产品验收合格之日起计算），帮助采购人建立《重点管控新污染物清单》（2023版）GCMS和LCMS/MS方法的的开发，所有建立分析方法的检测因子由采购方决定，方法建立相关费用已包含于本采购合同总价中，采购人无需额外支付费用。</w:t>
            </w:r>
          </w:p>
          <w:p>
            <w:pPr>
              <w:rPr>
                <w:rFonts w:hint="eastAsia"/>
              </w:rPr>
            </w:pPr>
            <w:r>
              <w:rPr>
                <w:rFonts w:hint="eastAsia"/>
              </w:rPr>
              <w:t>6.3培训：</w:t>
            </w:r>
          </w:p>
          <w:p>
            <w:pPr>
              <w:rPr>
                <w:rFonts w:hint="eastAsia"/>
              </w:rPr>
            </w:pPr>
            <w:r>
              <w:rPr>
                <w:rFonts w:hint="eastAsia"/>
              </w:rPr>
              <w:t>6.3.1现场安装人员培训：仪器安装调试时现场培训，培训内容包括仪器原理、结构、应用方法开发、日常维护、简单故障的识别及排除等，直至操作人员熟练掌握。</w:t>
            </w:r>
          </w:p>
          <w:p>
            <w:pPr>
              <w:rPr>
                <w:rFonts w:hint="eastAsia"/>
              </w:rPr>
            </w:pPr>
            <w:r>
              <w:rPr>
                <w:rFonts w:hint="eastAsia"/>
              </w:rPr>
              <w:t>6.3.2应用服务现场培训：</w:t>
            </w:r>
            <w:r>
              <w:rPr>
                <w:rFonts w:hint="eastAsia"/>
                <w:lang w:val="en-US" w:eastAsia="zh-CN"/>
              </w:rPr>
              <w:t>应用</w:t>
            </w:r>
            <w:r>
              <w:rPr>
                <w:rFonts w:hint="eastAsia"/>
              </w:rPr>
              <w:t>工程师用户现场方法和应用支持培训服务。从样品前处理到报告的全流程指导，及应用指标验收。</w:t>
            </w:r>
          </w:p>
          <w:p>
            <w:r>
              <w:rPr>
                <w:rFonts w:hint="eastAsia"/>
              </w:rPr>
              <w:t>6.3.3人员培训班培训：提供就近参加厂商举办的培训班，提供全套培训教材，差旅自理，培训费用包含在报价中。</w:t>
            </w:r>
          </w:p>
        </w:tc>
      </w:tr>
    </w:tbl>
    <w:p>
      <w:pPr>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NTg2MjQ0ZjhmMzM1OGQwZDE2ODhjNmI1MGIxMzQifQ=="/>
  </w:docVars>
  <w:rsids>
    <w:rsidRoot w:val="00296E8C"/>
    <w:rsid w:val="000476AD"/>
    <w:rsid w:val="00296E8C"/>
    <w:rsid w:val="0042108A"/>
    <w:rsid w:val="0060094B"/>
    <w:rsid w:val="00746049"/>
    <w:rsid w:val="008C1BE2"/>
    <w:rsid w:val="0EA52ABA"/>
    <w:rsid w:val="1C0431E3"/>
    <w:rsid w:val="1D445EF7"/>
    <w:rsid w:val="4ECC1BFC"/>
    <w:rsid w:val="58150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annotation reference"/>
    <w:uiPriority w:val="0"/>
    <w:rPr>
      <w:sz w:val="21"/>
      <w:szCs w:val="21"/>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文字 Char"/>
    <w:basedOn w:val="7"/>
    <w:link w:val="2"/>
    <w:qFormat/>
    <w:uiPriority w:val="0"/>
    <w:rPr>
      <w:rFonts w:ascii="Times New Roman" w:hAnsi="Times New Roman" w:eastAsia="宋体" w:cs="Times New Roman"/>
      <w:szCs w:val="24"/>
    </w:rPr>
  </w:style>
  <w:style w:type="character" w:customStyle="1" w:styleId="12">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2108</Words>
  <Characters>12022</Characters>
  <Lines>100</Lines>
  <Paragraphs>28</Paragraphs>
  <TotalTime>15</TotalTime>
  <ScaleCrop>false</ScaleCrop>
  <LinksUpToDate>false</LinksUpToDate>
  <CharactersWithSpaces>14102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2024-02-19T02:16:00Z</dcterms:created>
  <dc:creator>Min</dc:creator>
  <cp:lastModifiedBy>李津津</cp:lastModifiedBy>
  <dcterms:modified xsi:type="dcterms:W3CDTF">2024-02-19T06:09:25Z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43538321D7A84FDBBA4C13EB31664997_12</vt:lpwstr>
  </property>
</Properties>
</file>