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highlight w:val="none"/>
        </w:rPr>
      </w:pPr>
      <w:r>
        <w:rPr>
          <w:b/>
          <w:color w:val="auto"/>
          <w:sz w:val="36"/>
          <w:highlight w:val="none"/>
        </w:rPr>
        <w:t>采购需求</w:t>
      </w:r>
    </w:p>
    <w:p>
      <w:pPr>
        <w:rPr>
          <w:b/>
          <w:color w:val="auto"/>
          <w:sz w:val="28"/>
          <w:highlight w:val="none"/>
        </w:rPr>
      </w:pPr>
      <w:r>
        <w:rPr>
          <w:b/>
          <w:color w:val="auto"/>
          <w:sz w:val="28"/>
          <w:highlight w:val="none"/>
        </w:rPr>
        <w:t>一、项目概况：</w:t>
      </w:r>
    </w:p>
    <w:p>
      <w:pPr>
        <w:spacing w:line="276" w:lineRule="auto"/>
        <w:ind w:firstLine="420"/>
        <w:rPr>
          <w:color w:val="auto"/>
          <w:highlight w:val="none"/>
        </w:rPr>
      </w:pPr>
      <w:r>
        <w:rPr>
          <w:rFonts w:hint="eastAsia"/>
          <w:color w:val="auto"/>
          <w:highlight w:val="none"/>
        </w:rPr>
        <w:t>1.项目名称：中山市政务用证系统对接省“数字空间”及等保升级整改服务项目（以下简称本项目）。</w:t>
      </w:r>
    </w:p>
    <w:p>
      <w:pPr>
        <w:spacing w:line="276" w:lineRule="auto"/>
        <w:ind w:firstLine="420"/>
        <w:rPr>
          <w:color w:val="auto"/>
          <w:highlight w:val="none"/>
        </w:rPr>
      </w:pPr>
      <w:r>
        <w:rPr>
          <w:rFonts w:hint="eastAsia"/>
          <w:color w:val="auto"/>
          <w:highlight w:val="none"/>
        </w:rPr>
        <w:t>2.</w:t>
      </w:r>
      <w:r>
        <w:rPr>
          <w:color w:val="auto"/>
          <w:highlight w:val="none"/>
        </w:rPr>
        <w:t>本项目最高限价为：1,314,200.00</w:t>
      </w:r>
      <w:r>
        <w:rPr>
          <w:rFonts w:hint="eastAsia"/>
          <w:color w:val="auto"/>
          <w:highlight w:val="none"/>
        </w:rPr>
        <w:t>元</w:t>
      </w:r>
      <w:r>
        <w:rPr>
          <w:color w:val="auto"/>
          <w:highlight w:val="none"/>
        </w:rPr>
        <w:t>，</w:t>
      </w:r>
      <w:r>
        <w:rPr>
          <w:rFonts w:hint="eastAsia" w:asciiTheme="minorEastAsia" w:hAnsiTheme="minorEastAsia"/>
          <w:color w:val="auto"/>
          <w:highlight w:val="none"/>
          <w:lang w:val="en-US" w:eastAsia="zh-CN"/>
        </w:rPr>
        <w:t>供应商</w:t>
      </w:r>
      <w:r>
        <w:rPr>
          <w:color w:val="auto"/>
          <w:highlight w:val="none"/>
        </w:rPr>
        <w:t>的投标报价不能超过本项目的最高限价，否则按无效投标处理。</w:t>
      </w:r>
    </w:p>
    <w:p>
      <w:pPr>
        <w:ind w:firstLine="420" w:firstLineChars="200"/>
        <w:rPr>
          <w:color w:val="auto"/>
          <w:highlight w:val="none"/>
        </w:rPr>
      </w:pPr>
      <w:r>
        <w:rPr>
          <w:rFonts w:hint="eastAsia"/>
          <w:color w:val="auto"/>
          <w:highlight w:val="none"/>
        </w:rPr>
        <w:t>3.</w:t>
      </w:r>
      <w:r>
        <w:rPr>
          <w:color w:val="auto"/>
          <w:highlight w:val="none"/>
        </w:rPr>
        <w:t>采购包1（</w:t>
      </w:r>
      <w:r>
        <w:rPr>
          <w:rFonts w:hint="eastAsia"/>
          <w:color w:val="auto"/>
          <w:highlight w:val="none"/>
        </w:rPr>
        <w:t>中山市政务用证系统对接省“数字空间”及等保升级整改服务项目</w:t>
      </w:r>
      <w:r>
        <w:rPr>
          <w:color w:val="auto"/>
          <w:highlight w:val="none"/>
        </w:rPr>
        <w:t>）</w:t>
      </w:r>
    </w:p>
    <w:p>
      <w:pPr>
        <w:rPr>
          <w:color w:val="auto"/>
          <w:highlight w:val="none"/>
        </w:rPr>
      </w:pPr>
      <w:r>
        <w:rPr>
          <w:b/>
          <w:color w:val="auto"/>
          <w:highlight w:val="none"/>
        </w:rPr>
        <w:t>1.主要商务要求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8"/>
        <w:gridCol w:w="65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 w:hRule="atLeast"/>
        </w:trPr>
        <w:tc>
          <w:tcPr>
            <w:tcW w:w="1798" w:type="dxa"/>
          </w:tcPr>
          <w:p>
            <w:pPr>
              <w:rPr>
                <w:color w:val="auto"/>
                <w:highlight w:val="none"/>
              </w:rPr>
            </w:pPr>
            <w:r>
              <w:rPr>
                <w:color w:val="auto"/>
                <w:highlight w:val="none"/>
              </w:rPr>
              <w:t>标的提供的时间</w:t>
            </w:r>
          </w:p>
        </w:tc>
        <w:tc>
          <w:tcPr>
            <w:tcW w:w="6508" w:type="dxa"/>
          </w:tcPr>
          <w:p>
            <w:pPr>
              <w:rPr>
                <w:color w:val="auto"/>
                <w:highlight w:val="none"/>
              </w:rPr>
            </w:pPr>
            <w:r>
              <w:rPr>
                <w:rFonts w:hint="eastAsia" w:hAnsi="宋体" w:cs="宋体"/>
                <w:color w:val="auto"/>
                <w:highlight w:val="none"/>
              </w:rPr>
              <w:t>自本合同签订之日起1</w:t>
            </w:r>
            <w:r>
              <w:rPr>
                <w:rFonts w:hAnsi="宋体" w:cs="宋体"/>
                <w:color w:val="auto"/>
                <w:highlight w:val="none"/>
              </w:rPr>
              <w:t>80</w:t>
            </w:r>
            <w:r>
              <w:rPr>
                <w:rFonts w:hint="eastAsia" w:hAnsi="宋体" w:cs="宋体"/>
                <w:color w:val="auto"/>
                <w:highlight w:val="none"/>
              </w:rPr>
              <w:t>日内完成项目建设并通过综合验收</w:t>
            </w:r>
            <w:r>
              <w:rPr>
                <w:rFonts w:hint="eastAsia"/>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5" w:hRule="atLeast"/>
        </w:trPr>
        <w:tc>
          <w:tcPr>
            <w:tcW w:w="1798" w:type="dxa"/>
          </w:tcPr>
          <w:p>
            <w:pPr>
              <w:rPr>
                <w:color w:val="auto"/>
                <w:highlight w:val="none"/>
              </w:rPr>
            </w:pPr>
            <w:r>
              <w:rPr>
                <w:color w:val="auto"/>
                <w:highlight w:val="none"/>
              </w:rPr>
              <w:t>标的提供的地点</w:t>
            </w:r>
          </w:p>
        </w:tc>
        <w:tc>
          <w:tcPr>
            <w:tcW w:w="6508" w:type="dxa"/>
          </w:tcPr>
          <w:p>
            <w:pPr>
              <w:rPr>
                <w:color w:val="auto"/>
                <w:highlight w:val="none"/>
              </w:rPr>
            </w:pPr>
            <w:r>
              <w:rPr>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rPr>
                <w:color w:val="auto"/>
                <w:highlight w:val="none"/>
              </w:rPr>
            </w:pPr>
            <w:r>
              <w:rPr>
                <w:color w:val="auto"/>
                <w:highlight w:val="none"/>
              </w:rPr>
              <w:t>付款方式</w:t>
            </w:r>
          </w:p>
        </w:tc>
        <w:tc>
          <w:tcPr>
            <w:tcW w:w="6508" w:type="dxa"/>
          </w:tcPr>
          <w:p>
            <w:pPr>
              <w:rPr>
                <w:rFonts w:hint="default" w:eastAsiaTheme="minorEastAsia"/>
                <w:color w:val="auto"/>
                <w:highlight w:val="none"/>
                <w:lang w:val="en-US" w:eastAsia="zh-CN"/>
              </w:rPr>
            </w:pPr>
            <w:r>
              <w:rPr>
                <w:rFonts w:hint="eastAsia"/>
                <w:color w:val="auto"/>
                <w:highlight w:val="none"/>
                <w:lang w:val="en-US" w:eastAsia="zh-CN"/>
              </w:rPr>
              <w:t>付款方式：</w:t>
            </w:r>
          </w:p>
          <w:p>
            <w:pPr>
              <w:rPr>
                <w:color w:val="auto"/>
                <w:highlight w:val="none"/>
              </w:rPr>
            </w:pPr>
            <w:r>
              <w:rPr>
                <w:color w:val="auto"/>
                <w:highlight w:val="none"/>
              </w:rPr>
              <w:t>1期：支付比例100%</w:t>
            </w:r>
          </w:p>
          <w:p>
            <w:pPr>
              <w:rPr>
                <w:color w:val="auto"/>
                <w:highlight w:val="none"/>
              </w:rPr>
            </w:pPr>
            <w:r>
              <w:rPr>
                <w:rFonts w:hint="eastAsia"/>
                <w:color w:val="auto"/>
                <w:highlight w:val="none"/>
              </w:rPr>
              <w:t>（1）第一期：完成合同签订，且成交供应商提交支付等额发票后15日内，采购人支付成交供应商第一笔服务费，支付至合同总金额的30%。</w:t>
            </w:r>
          </w:p>
          <w:p>
            <w:pPr>
              <w:rPr>
                <w:color w:val="auto"/>
                <w:highlight w:val="none"/>
              </w:rPr>
            </w:pPr>
            <w:r>
              <w:rPr>
                <w:rFonts w:hint="eastAsia"/>
                <w:color w:val="auto"/>
                <w:highlight w:val="none"/>
              </w:rPr>
              <w:t>（2）第二期：项目通过内部验收，且采购人自收到成交供应商提供的发票之日起15日内向成交供应商支付第二笔服务费，支付至合同总金额的80%。</w:t>
            </w:r>
          </w:p>
          <w:p>
            <w:pPr>
              <w:rPr>
                <w:color w:val="auto"/>
                <w:highlight w:val="none"/>
              </w:rPr>
            </w:pPr>
            <w:r>
              <w:rPr>
                <w:rFonts w:hint="eastAsia"/>
                <w:color w:val="auto"/>
                <w:highlight w:val="none"/>
              </w:rPr>
              <w:t>（3）第三期：项目通过综合验收（即终验），且采购人自收到成交供应商提供的发票之日起15日内向成交供应商支付第三笔服务费，支付至合同总金额的100%。</w:t>
            </w:r>
          </w:p>
          <w:p>
            <w:pPr>
              <w:rPr>
                <w:color w:val="auto"/>
                <w:highlight w:val="none"/>
              </w:rPr>
            </w:pPr>
            <w:r>
              <w:rPr>
                <w:rFonts w:hint="eastAsia"/>
                <w:color w:val="auto"/>
                <w:highlight w:val="none"/>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6"/>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54" w:hRule="atLeast"/>
        </w:trPr>
        <w:tc>
          <w:tcPr>
            <w:tcW w:w="1798" w:type="dxa"/>
          </w:tcPr>
          <w:p>
            <w:pPr>
              <w:rPr>
                <w:color w:val="auto"/>
                <w:highlight w:val="none"/>
              </w:rPr>
            </w:pPr>
            <w:r>
              <w:rPr>
                <w:color w:val="auto"/>
                <w:highlight w:val="none"/>
              </w:rPr>
              <w:t>验收要求</w:t>
            </w:r>
          </w:p>
        </w:tc>
        <w:tc>
          <w:tcPr>
            <w:tcW w:w="6508" w:type="dxa"/>
          </w:tcPr>
          <w:p>
            <w:pPr>
              <w:rPr>
                <w:rFonts w:hint="default" w:eastAsiaTheme="minorEastAsia"/>
                <w:color w:val="auto"/>
                <w:highlight w:val="none"/>
                <w:lang w:val="en-US" w:eastAsia="zh-CN"/>
              </w:rPr>
            </w:pPr>
            <w:r>
              <w:rPr>
                <w:rFonts w:hint="eastAsia"/>
                <w:color w:val="auto"/>
                <w:highlight w:val="none"/>
                <w:lang w:val="en-US" w:eastAsia="zh-CN"/>
              </w:rPr>
              <w:t>验收要求：</w:t>
            </w:r>
          </w:p>
          <w:p>
            <w:pPr>
              <w:rPr>
                <w:color w:val="auto"/>
                <w:highlight w:val="none"/>
              </w:rPr>
            </w:pPr>
            <w:r>
              <w:rPr>
                <w:color w:val="auto"/>
                <w:highlight w:val="none"/>
              </w:rPr>
              <w:t>1期：</w:t>
            </w:r>
          </w:p>
          <w:p>
            <w:pPr>
              <w:rPr>
                <w:color w:val="auto"/>
                <w:highlight w:val="none"/>
              </w:rPr>
            </w:pPr>
            <w:r>
              <w:rPr>
                <w:rFonts w:hint="eastAsia"/>
                <w:color w:val="auto"/>
                <w:highlight w:val="none"/>
              </w:rPr>
              <w:t>1．项目验收分为内部验收、试运行、综合验收三个阶段。</w:t>
            </w:r>
          </w:p>
          <w:p>
            <w:pPr>
              <w:rPr>
                <w:color w:val="auto"/>
                <w:highlight w:val="none"/>
              </w:rPr>
            </w:pPr>
            <w:r>
              <w:rPr>
                <w:rFonts w:hint="eastAsia"/>
                <w:color w:val="auto"/>
                <w:highlight w:val="none"/>
              </w:rPr>
              <w:t>2．（1）项目内部验收（即初验）：本项目完成对接省“数字空间”和三级等保整改服务并通过第三方等保测评，出具三级等保报告后根据国家以及相关规定进行内部验收，内部验收合格后进入试运行阶段，试运行一段时间后根据采购人的使用情况和国家以及相关规定进行综合验收。项目内部验收由采购人组织相关业务部门、监理、</w:t>
            </w:r>
            <w:r>
              <w:rPr>
                <w:rFonts w:hint="eastAsia"/>
                <w:color w:val="auto"/>
                <w:highlight w:val="none"/>
                <w:lang w:val="en-US" w:eastAsia="zh-CN"/>
              </w:rPr>
              <w:t>成交供应商</w:t>
            </w:r>
            <w:r>
              <w:rPr>
                <w:rFonts w:hint="eastAsia"/>
                <w:color w:val="auto"/>
                <w:highlight w:val="none"/>
              </w:rPr>
              <w:t>共同进行。项目内部验收所产生的费用（不包括进行等保测评的费用），由成交供应商承担。</w:t>
            </w:r>
          </w:p>
          <w:p>
            <w:pPr>
              <w:rPr>
                <w:color w:val="auto"/>
                <w:highlight w:val="none"/>
              </w:rPr>
            </w:pPr>
            <w:r>
              <w:rPr>
                <w:rFonts w:hint="eastAsia"/>
                <w:color w:val="auto"/>
                <w:highlight w:val="none"/>
              </w:rPr>
              <w:t>（2）试运行：项目通过内部验收后，经采购人同意，系统将进入为期30日的试行阶段，以检验其是否达到本合同约定功能符合运行要求的项目活动。成交供应商应解决项目内部验收遗留问题及试运行期间所反映出的问题，若系统达不到合同规定要求，试运行期将继续顺延，直到系统完善。</w:t>
            </w:r>
          </w:p>
          <w:p>
            <w:pPr>
              <w:rPr>
                <w:color w:val="auto"/>
                <w:highlight w:val="none"/>
              </w:rPr>
            </w:pPr>
            <w:r>
              <w:rPr>
                <w:rFonts w:hint="eastAsia"/>
                <w:color w:val="auto"/>
                <w:highlight w:val="none"/>
              </w:rPr>
              <w:t>（3）项目综合验收（即终验）：项目试运行结束，功能达到符合运行要求后，经过本合同约定的试运行，检验系统是否能够完全交付的项目活动。成交供应商应负责完成内部验收遗留问题的整改，解决所有试运行期间的问题，使系统具备正式上线使用的条件，并完成所有用户培训。项目综合验收由采购人组织相关部门、监理、专家组、</w:t>
            </w:r>
            <w:r>
              <w:rPr>
                <w:rFonts w:hint="eastAsia"/>
                <w:color w:val="auto"/>
                <w:highlight w:val="none"/>
                <w:lang w:val="en-US" w:eastAsia="zh-CN"/>
              </w:rPr>
              <w:t>成交供应商</w:t>
            </w:r>
            <w:r>
              <w:rPr>
                <w:rFonts w:hint="eastAsia"/>
                <w:color w:val="auto"/>
                <w:highlight w:val="none"/>
              </w:rPr>
              <w:t>共同进行。项目综合验收所产生的费用，由成交供应商承担。</w:t>
            </w:r>
          </w:p>
          <w:p>
            <w:pPr>
              <w:rPr>
                <w:color w:val="auto"/>
                <w:highlight w:val="none"/>
              </w:rPr>
            </w:pPr>
            <w:r>
              <w:rPr>
                <w:rFonts w:hint="eastAsia"/>
                <w:color w:val="auto"/>
                <w:highlight w:val="none"/>
              </w:rPr>
              <w:t>本项目要求</w:t>
            </w:r>
            <w:r>
              <w:rPr>
                <w:rFonts w:hint="eastAsia"/>
                <w:color w:val="auto"/>
                <w:highlight w:val="none"/>
                <w:lang w:val="en-US" w:eastAsia="zh-CN"/>
              </w:rPr>
              <w:t>成交供应商</w:t>
            </w:r>
            <w:r>
              <w:rPr>
                <w:rFonts w:hint="eastAsia"/>
                <w:color w:val="auto"/>
                <w:highlight w:val="none"/>
              </w:rPr>
              <w:t>在项目验收时将各系统的全部有关产品说明书、安装手册、用户手册、技术文件、资料、相关设计图纸、验收报告等文档汇集成册并交付使用，并最终通过由中山市政务信息化主管部门组织的综合验收。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rPr>
                <w:color w:val="auto"/>
                <w:highlight w:val="none"/>
              </w:rPr>
            </w:pPr>
            <w:r>
              <w:rPr>
                <w:color w:val="auto"/>
                <w:highlight w:val="none"/>
              </w:rPr>
              <w:t>履约保证金</w:t>
            </w:r>
          </w:p>
        </w:tc>
        <w:tc>
          <w:tcPr>
            <w:tcW w:w="6508" w:type="dxa"/>
          </w:tcPr>
          <w:p>
            <w:pPr>
              <w:rPr>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8" w:type="dxa"/>
          </w:tcPr>
          <w:p>
            <w:pPr>
              <w:rPr>
                <w:color w:val="auto"/>
                <w:highlight w:val="none"/>
              </w:rPr>
            </w:pPr>
            <w:r>
              <w:rPr>
                <w:color w:val="auto"/>
                <w:highlight w:val="none"/>
              </w:rPr>
              <w:t>其他</w:t>
            </w:r>
          </w:p>
        </w:tc>
        <w:tc>
          <w:tcPr>
            <w:tcW w:w="6508" w:type="dxa"/>
          </w:tcPr>
          <w:p>
            <w:pPr>
              <w:rPr>
                <w:color w:val="auto"/>
                <w:highlight w:val="none"/>
              </w:rPr>
            </w:pPr>
            <w:r>
              <w:rPr>
                <w:rFonts w:hint="eastAsia"/>
                <w:color w:val="auto"/>
                <w:highlight w:val="none"/>
              </w:rPr>
              <w:t>本项目需要落实的政府采购政策：采购包整体专门面向中小企业（供应商须为符合《政府采购促进中小企业发展管理办法》（财库〔2020〕46号）规定和《中小企业划型标准规定》（工信部联企业[2011]300号）的中型、小型、微型企业）、《关于政府采购支持监狱企业发展有关问题的通知》(财库〔2014〕68号）、《关于促进残疾人就业政府采购政策的通知》（财库〔2017〕141号）、《政府采购促进中小企业发展管理办法》（财库〔2020〕46号）规定和《中小企业划型标准规定》（工信部联企业[2011]300号）。</w:t>
            </w:r>
          </w:p>
        </w:tc>
      </w:tr>
    </w:tbl>
    <w:p>
      <w:pPr>
        <w:rPr>
          <w:b/>
          <w:color w:val="auto"/>
          <w:highlight w:val="none"/>
        </w:rPr>
      </w:pPr>
    </w:p>
    <w:p>
      <w:pPr>
        <w:rPr>
          <w:color w:val="auto"/>
          <w:highlight w:val="none"/>
        </w:rPr>
      </w:pPr>
      <w:r>
        <w:rPr>
          <w:b/>
          <w:color w:val="auto"/>
          <w:highlight w:val="none"/>
        </w:rPr>
        <w:t>2.技术标准与要求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7"/>
        <w:gridCol w:w="838"/>
        <w:gridCol w:w="1261"/>
        <w:gridCol w:w="625"/>
        <w:gridCol w:w="697"/>
        <w:gridCol w:w="1332"/>
        <w:gridCol w:w="1332"/>
        <w:gridCol w:w="762"/>
        <w:gridCol w:w="8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7" w:type="dxa"/>
          </w:tcPr>
          <w:p>
            <w:pPr>
              <w:jc w:val="center"/>
              <w:rPr>
                <w:color w:val="auto"/>
                <w:highlight w:val="none"/>
              </w:rPr>
            </w:pPr>
            <w:r>
              <w:rPr>
                <w:color w:val="auto"/>
                <w:highlight w:val="none"/>
              </w:rPr>
              <w:t>序号</w:t>
            </w:r>
          </w:p>
        </w:tc>
        <w:tc>
          <w:tcPr>
            <w:tcW w:w="838" w:type="dxa"/>
          </w:tcPr>
          <w:p>
            <w:pPr>
              <w:jc w:val="center"/>
              <w:rPr>
                <w:color w:val="auto"/>
                <w:highlight w:val="none"/>
              </w:rPr>
            </w:pPr>
            <w:r>
              <w:rPr>
                <w:color w:val="auto"/>
                <w:highlight w:val="none"/>
              </w:rPr>
              <w:t>品目名称</w:t>
            </w:r>
          </w:p>
        </w:tc>
        <w:tc>
          <w:tcPr>
            <w:tcW w:w="1261" w:type="dxa"/>
          </w:tcPr>
          <w:p>
            <w:pPr>
              <w:jc w:val="center"/>
              <w:rPr>
                <w:color w:val="auto"/>
                <w:highlight w:val="none"/>
              </w:rPr>
            </w:pPr>
            <w:r>
              <w:rPr>
                <w:color w:val="auto"/>
                <w:highlight w:val="none"/>
              </w:rPr>
              <w:t>标的名称</w:t>
            </w:r>
          </w:p>
        </w:tc>
        <w:tc>
          <w:tcPr>
            <w:tcW w:w="625" w:type="dxa"/>
          </w:tcPr>
          <w:p>
            <w:pPr>
              <w:jc w:val="center"/>
              <w:rPr>
                <w:color w:val="auto"/>
                <w:highlight w:val="none"/>
              </w:rPr>
            </w:pPr>
            <w:r>
              <w:rPr>
                <w:color w:val="auto"/>
                <w:highlight w:val="none"/>
              </w:rPr>
              <w:t>单位</w:t>
            </w:r>
          </w:p>
        </w:tc>
        <w:tc>
          <w:tcPr>
            <w:tcW w:w="697" w:type="dxa"/>
          </w:tcPr>
          <w:p>
            <w:pPr>
              <w:jc w:val="center"/>
              <w:rPr>
                <w:color w:val="auto"/>
                <w:highlight w:val="none"/>
              </w:rPr>
            </w:pPr>
            <w:r>
              <w:rPr>
                <w:color w:val="auto"/>
                <w:highlight w:val="none"/>
              </w:rPr>
              <w:t>数量</w:t>
            </w:r>
          </w:p>
        </w:tc>
        <w:tc>
          <w:tcPr>
            <w:tcW w:w="1332" w:type="dxa"/>
          </w:tcPr>
          <w:p>
            <w:pPr>
              <w:jc w:val="center"/>
              <w:rPr>
                <w:color w:val="auto"/>
                <w:highlight w:val="none"/>
              </w:rPr>
            </w:pPr>
            <w:r>
              <w:rPr>
                <w:color w:val="auto"/>
                <w:highlight w:val="none"/>
              </w:rPr>
              <w:t>分项预算单价（元）</w:t>
            </w:r>
          </w:p>
        </w:tc>
        <w:tc>
          <w:tcPr>
            <w:tcW w:w="1332" w:type="dxa"/>
          </w:tcPr>
          <w:p>
            <w:pPr>
              <w:jc w:val="center"/>
              <w:rPr>
                <w:color w:val="auto"/>
                <w:highlight w:val="none"/>
              </w:rPr>
            </w:pPr>
            <w:r>
              <w:rPr>
                <w:color w:val="auto"/>
                <w:highlight w:val="none"/>
              </w:rPr>
              <w:t>分项预算总价（元）</w:t>
            </w:r>
          </w:p>
        </w:tc>
        <w:tc>
          <w:tcPr>
            <w:tcW w:w="762" w:type="dxa"/>
          </w:tcPr>
          <w:p>
            <w:pPr>
              <w:rPr>
                <w:color w:val="auto"/>
                <w:highlight w:val="none"/>
              </w:rPr>
            </w:pPr>
            <w:r>
              <w:rPr>
                <w:color w:val="auto"/>
                <w:highlight w:val="none"/>
              </w:rPr>
              <w:t>所属行业</w:t>
            </w:r>
          </w:p>
        </w:tc>
        <w:tc>
          <w:tcPr>
            <w:tcW w:w="838" w:type="dxa"/>
          </w:tcPr>
          <w:p>
            <w:pPr>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7" w:type="dxa"/>
          </w:tcPr>
          <w:p>
            <w:pPr>
              <w:jc w:val="center"/>
              <w:rPr>
                <w:color w:val="auto"/>
                <w:highlight w:val="none"/>
              </w:rPr>
            </w:pPr>
            <w:r>
              <w:rPr>
                <w:color w:val="auto"/>
                <w:highlight w:val="none"/>
              </w:rPr>
              <w:t>1</w:t>
            </w:r>
          </w:p>
        </w:tc>
        <w:tc>
          <w:tcPr>
            <w:tcW w:w="838" w:type="dxa"/>
          </w:tcPr>
          <w:p>
            <w:pPr>
              <w:jc w:val="left"/>
              <w:rPr>
                <w:color w:val="auto"/>
                <w:highlight w:val="none"/>
              </w:rPr>
            </w:pPr>
            <w:r>
              <w:rPr>
                <w:color w:val="auto"/>
                <w:highlight w:val="none"/>
              </w:rPr>
              <w:t>其他服务</w:t>
            </w:r>
          </w:p>
        </w:tc>
        <w:tc>
          <w:tcPr>
            <w:tcW w:w="1261" w:type="dxa"/>
          </w:tcPr>
          <w:p>
            <w:pPr>
              <w:jc w:val="left"/>
              <w:rPr>
                <w:color w:val="auto"/>
                <w:highlight w:val="none"/>
              </w:rPr>
            </w:pPr>
            <w:r>
              <w:rPr>
                <w:rFonts w:hint="eastAsia"/>
                <w:color w:val="auto"/>
                <w:highlight w:val="none"/>
              </w:rPr>
              <w:t>中山市政务用证系统对接省“数字空间”及等保升级整改服务项目</w:t>
            </w:r>
          </w:p>
        </w:tc>
        <w:tc>
          <w:tcPr>
            <w:tcW w:w="625" w:type="dxa"/>
          </w:tcPr>
          <w:p>
            <w:pPr>
              <w:jc w:val="left"/>
              <w:rPr>
                <w:color w:val="auto"/>
                <w:highlight w:val="none"/>
              </w:rPr>
            </w:pPr>
            <w:r>
              <w:rPr>
                <w:color w:val="auto"/>
                <w:highlight w:val="none"/>
              </w:rPr>
              <w:t>项</w:t>
            </w:r>
          </w:p>
        </w:tc>
        <w:tc>
          <w:tcPr>
            <w:tcW w:w="697" w:type="dxa"/>
          </w:tcPr>
          <w:p>
            <w:pPr>
              <w:jc w:val="right"/>
              <w:rPr>
                <w:color w:val="auto"/>
                <w:highlight w:val="none"/>
              </w:rPr>
            </w:pPr>
            <w:r>
              <w:rPr>
                <w:color w:val="auto"/>
                <w:highlight w:val="none"/>
              </w:rPr>
              <w:t>1.00</w:t>
            </w:r>
          </w:p>
        </w:tc>
        <w:tc>
          <w:tcPr>
            <w:tcW w:w="1332" w:type="dxa"/>
          </w:tcPr>
          <w:p>
            <w:pPr>
              <w:jc w:val="right"/>
              <w:rPr>
                <w:color w:val="auto"/>
                <w:highlight w:val="none"/>
              </w:rPr>
            </w:pPr>
            <w:r>
              <w:rPr>
                <w:rFonts w:hint="eastAsia"/>
                <w:color w:val="auto"/>
                <w:highlight w:val="none"/>
              </w:rPr>
              <w:t>1</w:t>
            </w:r>
            <w:r>
              <w:rPr>
                <w:color w:val="auto"/>
                <w:highlight w:val="none"/>
              </w:rPr>
              <w:t>,314,200.00</w:t>
            </w:r>
          </w:p>
        </w:tc>
        <w:tc>
          <w:tcPr>
            <w:tcW w:w="1332" w:type="dxa"/>
          </w:tcPr>
          <w:p>
            <w:pPr>
              <w:jc w:val="right"/>
              <w:rPr>
                <w:color w:val="auto"/>
                <w:highlight w:val="none"/>
              </w:rPr>
            </w:pPr>
            <w:r>
              <w:rPr>
                <w:rFonts w:hint="eastAsia"/>
                <w:color w:val="auto"/>
                <w:highlight w:val="none"/>
              </w:rPr>
              <w:t>1</w:t>
            </w:r>
            <w:r>
              <w:rPr>
                <w:color w:val="auto"/>
                <w:highlight w:val="none"/>
              </w:rPr>
              <w:t>,314,200.0</w:t>
            </w:r>
            <w:r>
              <w:rPr>
                <w:rFonts w:hint="eastAsia"/>
                <w:color w:val="auto"/>
                <w:highlight w:val="none"/>
              </w:rPr>
              <w:t>0</w:t>
            </w:r>
          </w:p>
        </w:tc>
        <w:tc>
          <w:tcPr>
            <w:tcW w:w="762" w:type="dxa"/>
          </w:tcPr>
          <w:p>
            <w:pPr>
              <w:rPr>
                <w:color w:val="auto"/>
                <w:highlight w:val="none"/>
              </w:rPr>
            </w:pPr>
            <w:r>
              <w:rPr>
                <w:color w:val="auto"/>
                <w:highlight w:val="none"/>
              </w:rPr>
              <w:t>软件和信息技术服务业</w:t>
            </w:r>
          </w:p>
        </w:tc>
        <w:tc>
          <w:tcPr>
            <w:tcW w:w="838" w:type="dxa"/>
          </w:tcPr>
          <w:p>
            <w:pPr>
              <w:rPr>
                <w:color w:val="auto"/>
                <w:highlight w:val="none"/>
              </w:rPr>
            </w:pPr>
            <w:r>
              <w:rPr>
                <w:color w:val="auto"/>
                <w:highlight w:val="none"/>
              </w:rPr>
              <w:t>详见附表一</w:t>
            </w:r>
          </w:p>
        </w:tc>
      </w:tr>
    </w:tbl>
    <w:p>
      <w:pPr>
        <w:rPr>
          <w:color w:val="auto"/>
          <w:highlight w:val="none"/>
        </w:rPr>
      </w:pPr>
    </w:p>
    <w:p>
      <w:pPr>
        <w:rPr>
          <w:color w:val="auto"/>
          <w:highlight w:val="none"/>
        </w:rPr>
      </w:pPr>
      <w:r>
        <w:rPr>
          <w:b/>
          <w:color w:val="auto"/>
          <w:highlight w:val="none"/>
        </w:rPr>
        <w:t>附表一：</w:t>
      </w:r>
      <w:r>
        <w:rPr>
          <w:rFonts w:hint="eastAsia"/>
          <w:b/>
          <w:color w:val="auto"/>
          <w:highlight w:val="none"/>
        </w:rPr>
        <w:t>中山市政务用证系统对接省“数字空间”及等保升级整改服务项目</w:t>
      </w:r>
    </w:p>
    <w:tbl>
      <w:tblPr>
        <w:tblStyle w:val="7"/>
        <w:tblW w:w="93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6"/>
        <w:gridCol w:w="654"/>
        <w:gridCol w:w="82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pPr>
              <w:rPr>
                <w:color w:val="auto"/>
                <w:highlight w:val="none"/>
              </w:rPr>
            </w:pPr>
            <w:r>
              <w:rPr>
                <w:color w:val="auto"/>
                <w:highlight w:val="none"/>
              </w:rPr>
              <w:t>参数性质</w:t>
            </w:r>
          </w:p>
        </w:tc>
        <w:tc>
          <w:tcPr>
            <w:tcW w:w="654" w:type="dxa"/>
          </w:tcPr>
          <w:p>
            <w:pPr>
              <w:rPr>
                <w:color w:val="auto"/>
                <w:highlight w:val="none"/>
              </w:rPr>
            </w:pPr>
            <w:r>
              <w:rPr>
                <w:color w:val="auto"/>
                <w:highlight w:val="none"/>
              </w:rPr>
              <w:t>序号</w:t>
            </w:r>
          </w:p>
        </w:tc>
        <w:tc>
          <w:tcPr>
            <w:tcW w:w="8281" w:type="dxa"/>
          </w:tcPr>
          <w:p>
            <w:pPr>
              <w:rPr>
                <w:color w:val="auto"/>
                <w:highlight w:val="none"/>
              </w:rPr>
            </w:pPr>
            <w:r>
              <w:rPr>
                <w:color w:val="auto"/>
                <w:highlight w:val="none"/>
              </w:rPr>
              <w:t>具体技术</w:t>
            </w:r>
            <w:r>
              <w:rPr>
                <w:rFonts w:hint="eastAsia"/>
                <w:color w:val="auto"/>
                <w:highlight w:val="none"/>
              </w:rPr>
              <w:t>（</w:t>
            </w:r>
            <w:r>
              <w:rPr>
                <w:color w:val="auto"/>
                <w:highlight w:val="none"/>
              </w:rPr>
              <w:t>参数</w:t>
            </w:r>
            <w:r>
              <w:rPr>
                <w:rFonts w:hint="eastAsia"/>
                <w:color w:val="auto"/>
                <w:highlight w:val="none"/>
              </w:rPr>
              <w:t>）</w:t>
            </w:r>
            <w:r>
              <w:rPr>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pPr>
              <w:rPr>
                <w:color w:val="auto"/>
                <w:highlight w:val="none"/>
              </w:rPr>
            </w:pPr>
          </w:p>
        </w:tc>
        <w:tc>
          <w:tcPr>
            <w:tcW w:w="654" w:type="dxa"/>
          </w:tcPr>
          <w:p>
            <w:pPr>
              <w:rPr>
                <w:color w:val="auto"/>
                <w:highlight w:val="none"/>
              </w:rPr>
            </w:pPr>
            <w:r>
              <w:rPr>
                <w:rFonts w:hint="eastAsia"/>
                <w:color w:val="auto"/>
                <w:highlight w:val="none"/>
              </w:rPr>
              <w:t>1</w:t>
            </w:r>
          </w:p>
        </w:tc>
        <w:tc>
          <w:tcPr>
            <w:tcW w:w="8281" w:type="dxa"/>
          </w:tcPr>
          <w:p>
            <w:pPr>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1项目概况</w:t>
            </w:r>
          </w:p>
          <w:p>
            <w:pPr>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ascii="宋体" w:hAnsi="宋体" w:eastAsia="宋体" w:cs="宋体"/>
                <w:b/>
                <w:color w:val="auto"/>
                <w:szCs w:val="21"/>
                <w:highlight w:val="none"/>
              </w:rPr>
              <w:t>.1</w:t>
            </w:r>
            <w:r>
              <w:rPr>
                <w:rFonts w:hint="eastAsia" w:ascii="宋体" w:hAnsi="宋体" w:eastAsia="宋体" w:cs="宋体"/>
                <w:b/>
                <w:color w:val="auto"/>
                <w:szCs w:val="21"/>
                <w:highlight w:val="none"/>
              </w:rPr>
              <w:t>建设背景</w:t>
            </w:r>
          </w:p>
          <w:p>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中山市于2018年建设部署全市电子证照系统，并实现与省电子证照平台的互联互通和证照共享。截至2022年底，全市共签发电子证照达1610万张，总用证次数达1405万次。全市电子证照的应用效果较为显著，成功助力新生入学、人才落户、不动产登记等多个专项的应用，真正解决了群众办事重复提交材料、跑多个地方、跑多次的问题，基本实现“让数据多跑路、让群众少跑腿”的目标。</w:t>
            </w:r>
          </w:p>
          <w:p>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市随着电子证照系统应用的不断推广，在许多政府服务场景，使用电子身份证可与自助终端、各业务服务前台系统实现对接，直接办理业务，不再需要出示身份证原件、留存身份证复印件。不只是电子身份证，从出生医学证明、户口簿、社会保障卡等个人电子证照，到营业执照、生产经营许可证等企业电子证照，我市正有序扩大电子证照应用和服务领域。例如，企业开办、公积金提取等全市“一网通办”服务，为就业创业、民生缴费等带来便利。助力我市政务服务事项办理在减环节、减材料、减时限、减费用等方面取得了初步成效，进一步提升群众的获得感和满意度。</w:t>
            </w:r>
          </w:p>
          <w:p>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但是由于电子证照属于优质政务数据资源，存在用证系统多、数据流转链路复杂、数据商业价值高等特点，因此极易成为境内外黑客组织的重点攻击对象。在数据安全形势日益严峻的背景下，全国范围内发生多起因电子证照用证系统漏洞导致的数据泄露事件。根据《网络安全法》《数据安全法》《个人信息保护法》以及《国务院办公厅关于加快推进电子证照扩大应用领域和全国互通互认的意见》有关要求，省政务服务数据管理局下发了《广东省政务服务数据管理局关于开展电子证照用证系统安全自查和安全检查的通知》以及《广东省政务服务数据管理局关于推进电子证照规范签发和安全应用的通知》，要求各地停用地市部署的电子证照系统，切换对接省“数字空间”的方式开展授权用证。同时，要求各地各部门有电子证照用证需求的业务系统必须达到“网络安全等级保护第三级”方可对接省“数字空间”并实现授权用证。因此，本项目拟统筹一批用证量大的政务服务业务系统开展等保三级改造提升、对接省“数字空间”的工作。</w:t>
            </w:r>
          </w:p>
          <w:p>
            <w:pPr>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建设目标</w:t>
            </w:r>
          </w:p>
          <w:p>
            <w:pPr>
              <w:pStyle w:val="3"/>
              <w:rPr>
                <w:rFonts w:ascii="宋体" w:hAnsi="宋体" w:eastAsia="宋体" w:cs="宋体"/>
                <w:color w:val="auto"/>
                <w:highlight w:val="none"/>
              </w:rPr>
            </w:pPr>
            <w:r>
              <w:rPr>
                <w:rFonts w:hint="eastAsia" w:ascii="宋体" w:hAnsi="宋体" w:eastAsia="宋体" w:cs="宋体"/>
                <w:color w:val="auto"/>
                <w:highlight w:val="none"/>
              </w:rPr>
              <w:t>根据《广东省政务服务数据管理局关于开展电子证照用证系统安全自查和安全检查的通知》以及《关于开展政务系统（公众侧）网络安全风险隐患自查整改工作的补充通知》有关要求，中山市政务用证系统通过对接省“数字空间”，为中山企业和群众在政务用证系统用证时提供数据携带、授权、存证、溯源全服务。同时，未达到等保三级的政务用证系统通过安全整改升级，在第二级系统安全保护环境的基础上，通过实现基于安全策略模型和标记的强制访问控制以及增强系统的审计机制，使政务用证系统具有在统一安全策略管控下，保护敏感资源的能力，并保障政务用证系统基础计算资源和应用程序可信，确保政务用证关键执行环节可信。</w:t>
            </w:r>
          </w:p>
          <w:p>
            <w:pPr>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ascii="宋体" w:hAnsi="宋体" w:eastAsia="宋体" w:cs="宋体"/>
                <w:b/>
                <w:color w:val="auto"/>
                <w:szCs w:val="21"/>
                <w:highlight w:val="none"/>
              </w:rPr>
              <w:t>.3</w:t>
            </w:r>
            <w:r>
              <w:rPr>
                <w:rFonts w:hint="eastAsia" w:ascii="宋体" w:hAnsi="宋体" w:eastAsia="宋体" w:cs="宋体"/>
                <w:b/>
                <w:color w:val="auto"/>
                <w:szCs w:val="21"/>
                <w:highlight w:val="none"/>
              </w:rPr>
              <w:t>建设现状</w:t>
            </w:r>
          </w:p>
          <w:p>
            <w:pPr>
              <w:pStyle w:val="3"/>
              <w:ind w:firstLine="0" w:firstLineChars="0"/>
              <w:rPr>
                <w:rFonts w:ascii="宋体" w:hAnsi="宋体" w:eastAsia="宋体" w:cs="宋体"/>
                <w:b/>
                <w:color w:val="auto"/>
                <w:highlight w:val="none"/>
              </w:rPr>
            </w:pPr>
            <w:r>
              <w:rPr>
                <w:rFonts w:hint="eastAsia" w:ascii="宋体" w:hAnsi="宋体" w:eastAsia="宋体" w:cs="宋体"/>
                <w:b/>
                <w:color w:val="auto"/>
                <w:highlight w:val="none"/>
              </w:rPr>
              <w:t>1.3.1省“数字空间”现状</w:t>
            </w:r>
          </w:p>
          <w:p>
            <w:pPr>
              <w:pStyle w:val="3"/>
              <w:rPr>
                <w:rFonts w:ascii="宋体" w:hAnsi="宋体" w:cs="宋体"/>
                <w:color w:val="auto"/>
                <w:highlight w:val="none"/>
              </w:rPr>
            </w:pPr>
            <w:r>
              <w:rPr>
                <w:rFonts w:hint="eastAsia"/>
                <w:color w:val="auto"/>
                <w:highlight w:val="none"/>
              </w:rPr>
              <w:t>基于数字政府为群众提供数字服务的理念，</w:t>
            </w:r>
            <w:r>
              <w:rPr>
                <w:rFonts w:hint="eastAsia" w:ascii="Times New Roman" w:eastAsia="宋体"/>
                <w:color w:val="auto"/>
                <w:highlight w:val="none"/>
              </w:rPr>
              <w:t>2022年</w:t>
            </w:r>
            <w:r>
              <w:rPr>
                <w:rFonts w:hint="eastAsia"/>
                <w:color w:val="auto"/>
                <w:highlight w:val="none"/>
              </w:rPr>
              <w:t>广东上线了“数字空间”，通过建立“实人认证-明示用途-主动授权-记录存证”的用数模式，能够更好地为群众提供服务。省“数字空间”分为“个人数字空间”和“法人数字空间”。“个人数字空间”，面向自然人提供数据主体证照和数据展示、数据授权使用等能力，面向自然人业务办理系统提供标准对接能力，满足业务办理系统数据流通需求。“法人数字空间”面向企业法人提供企业证照和数据展示、数据授权使用等能力，面向法人业务办理系统提供标准对接能力，满足法人业务办理系统数据流通需求。</w:t>
            </w:r>
          </w:p>
          <w:p>
            <w:pPr>
              <w:pStyle w:val="3"/>
              <w:ind w:firstLine="0" w:firstLineChars="0"/>
              <w:rPr>
                <w:rFonts w:ascii="宋体" w:hAnsi="宋体" w:eastAsia="宋体" w:cs="宋体"/>
                <w:b/>
                <w:color w:val="auto"/>
                <w:highlight w:val="none"/>
              </w:rPr>
            </w:pPr>
            <w:r>
              <w:rPr>
                <w:rFonts w:hint="eastAsia" w:ascii="宋体" w:hAnsi="宋体" w:eastAsia="宋体" w:cs="宋体"/>
                <w:b/>
                <w:color w:val="auto"/>
                <w:highlight w:val="none"/>
              </w:rPr>
              <w:t>1.3.2省市电子证照系统现状</w:t>
            </w:r>
          </w:p>
          <w:p>
            <w:pPr>
              <w:ind w:firstLine="420" w:firstLineChars="200"/>
              <w:rPr>
                <w:rFonts w:ascii="宋体" w:hAnsi="宋体" w:cs="仿宋_GB2312"/>
                <w:color w:val="auto"/>
                <w:highlight w:val="none"/>
              </w:rPr>
            </w:pPr>
            <w:r>
              <w:rPr>
                <w:rFonts w:hint="eastAsia" w:ascii="宋体" w:hAnsi="宋体" w:cs="仿宋_GB2312"/>
                <w:color w:val="auto"/>
                <w:highlight w:val="none"/>
              </w:rPr>
              <w:t>广东省于2016年开始全省电子证照系统建设，把电子证照建设作为突破网上办事瓶颈的重要抓手，积极推动电子证照在政务服务的应用。广东省电子证照系统上线运行以来，在破解群众办事重复提交材料、跑多个地方、跑多次问题，提升部门政务服务效率和业务协同能力等方面取得了初步成效。</w:t>
            </w:r>
          </w:p>
          <w:p>
            <w:pPr>
              <w:ind w:firstLine="420" w:firstLineChars="200"/>
              <w:rPr>
                <w:rFonts w:ascii="宋体" w:hAnsi="宋体" w:cs="仿宋_GB2312"/>
                <w:color w:val="auto"/>
                <w:highlight w:val="none"/>
              </w:rPr>
            </w:pPr>
            <w:r>
              <w:rPr>
                <w:rFonts w:hint="eastAsia" w:ascii="宋体" w:hAnsi="宋体" w:cs="仿宋_GB2312"/>
                <w:color w:val="auto"/>
                <w:highlight w:val="none"/>
              </w:rPr>
              <w:t>广东省电子证照系统采取省市两级部署分级实施策略，电子证照系统按省、市两级分级部署。省系统支撑全省目录管理、省级制证签发、省级用证服务、市级后备用证服务、跨市用证服务、省证照库管理、全省互联等需求。地市系统支撑地市、县（市、区）及以下应开通目录管理、制证签发、用证服务、证照库管理、与省系统互联等需求。政务部门业务系统要接入电子证照系统，实现发证和用证对接。</w:t>
            </w:r>
          </w:p>
          <w:p>
            <w:pPr>
              <w:ind w:firstLine="420" w:firstLineChars="200"/>
              <w:rPr>
                <w:rFonts w:ascii="宋体" w:hAnsi="宋体" w:cs="仿宋_GB2312"/>
                <w:color w:val="auto"/>
                <w:highlight w:val="none"/>
              </w:rPr>
            </w:pPr>
            <w:r>
              <w:rPr>
                <w:rFonts w:hint="eastAsia" w:ascii="宋体" w:hAnsi="宋体" w:cs="仿宋_GB2312"/>
                <w:color w:val="auto"/>
                <w:highlight w:val="none"/>
              </w:rPr>
              <w:t>中山市于2018年开始建设并部署全市电子证照系统，涵盖目录管理、发证管理、用证管理、业务应用、统计报表、平台管理等基础子系统功能，形成与省互联互通的电子证照体系。</w:t>
            </w:r>
          </w:p>
          <w:p>
            <w:pPr>
              <w:ind w:firstLine="420" w:firstLineChars="200"/>
              <w:rPr>
                <w:rFonts w:ascii="宋体" w:hAnsi="宋体" w:cs="宋体"/>
                <w:color w:val="auto"/>
                <w:highlight w:val="none"/>
              </w:rPr>
            </w:pPr>
            <w:r>
              <w:rPr>
                <w:rFonts w:hint="eastAsia" w:ascii="宋体" w:hAnsi="宋体" w:cs="仿宋_GB2312"/>
                <w:color w:val="auto"/>
                <w:highlight w:val="none"/>
              </w:rPr>
              <w:t>目前，广东省电子证照系统已全面融入广东省数据资源一网共享平台，建立全省统一的省证照数据库，原市级电子证照系统已关停。通过优化证照相关业务流程，全面对接省“数字空间”进一步方便各地各部门签发和使用证照，提高证照在线调用成功率，缩短证照服务响应时长，大幅提升用户亮证用证体验。</w:t>
            </w:r>
          </w:p>
          <w:p>
            <w:pPr>
              <w:pStyle w:val="3"/>
              <w:ind w:firstLine="0" w:firstLineChars="0"/>
              <w:rPr>
                <w:rFonts w:ascii="宋体" w:hAnsi="宋体" w:eastAsia="宋体" w:cs="宋体"/>
                <w:b/>
                <w:color w:val="auto"/>
                <w:highlight w:val="none"/>
                <w:lang w:val="zh-TW" w:eastAsia="zh-TW"/>
              </w:rPr>
            </w:pPr>
            <w:r>
              <w:rPr>
                <w:rFonts w:hint="eastAsia" w:ascii="宋体" w:hAnsi="宋体" w:eastAsia="宋体" w:cs="宋体"/>
                <w:b/>
                <w:color w:val="auto"/>
                <w:highlight w:val="none"/>
              </w:rPr>
              <w:t>1.3.3本项目涉及用证业务系统现状</w:t>
            </w:r>
          </w:p>
          <w:p>
            <w:pPr>
              <w:ind w:firstLine="420" w:firstLineChars="200"/>
              <w:rPr>
                <w:color w:val="auto"/>
                <w:highlight w:val="none"/>
              </w:rPr>
            </w:pPr>
            <w:r>
              <w:rPr>
                <w:rFonts w:hint="eastAsia"/>
                <w:color w:val="auto"/>
                <w:highlight w:val="none"/>
              </w:rPr>
              <w:t>随着国家、省电子证照相关政策的落地，电子证照用证相关要求有所变化，通过前期调研，本项目将涉及用证量大且符合对接省“数字空间”用证条件的信息系统，具体如下：</w:t>
            </w:r>
            <w:r>
              <w:rPr>
                <w:color w:val="auto"/>
                <w:highlight w:val="none"/>
              </w:rPr>
              <w:t xml:space="preserve"> </w:t>
            </w:r>
          </w:p>
          <w:p>
            <w:pPr>
              <w:pStyle w:val="3"/>
              <w:ind w:firstLine="0" w:firstLineChars="0"/>
              <w:rPr>
                <w:rFonts w:ascii="宋体" w:hAnsi="宋体" w:eastAsia="宋体" w:cs="宋体"/>
                <w:b/>
                <w:color w:val="auto"/>
                <w:highlight w:val="none"/>
              </w:rPr>
            </w:pPr>
            <w:r>
              <w:rPr>
                <w:rFonts w:hint="eastAsia" w:ascii="宋体" w:hAnsi="宋体" w:eastAsia="宋体" w:cs="宋体"/>
                <w:b/>
                <w:color w:val="auto"/>
                <w:highlight w:val="none"/>
              </w:rPr>
              <w:t>1.3.3.1.中山市商事登记全程电子化智能申报审批平台</w:t>
            </w:r>
          </w:p>
          <w:p>
            <w:pPr>
              <w:ind w:firstLine="420" w:firstLineChars="200"/>
              <w:rPr>
                <w:rFonts w:eastAsia="宋体"/>
                <w:color w:val="auto"/>
                <w:highlight w:val="none"/>
              </w:rPr>
            </w:pPr>
            <w:r>
              <w:rPr>
                <w:rFonts w:hint="eastAsia" w:ascii="Times New Roman" w:hAnsi="Times New Roman" w:eastAsia="宋体"/>
                <w:color w:val="auto"/>
                <w:highlight w:val="none"/>
              </w:rPr>
              <w:t>为进一步提升企业开办便利度，优化营商环境，市市场监管局自2018年9月开始建设中山市商事登记全程电子化智能申报审批平台，2019年该平台建成。该平台是利用电子表单、电子签名等技术实现全市内资有限公司和个体工商户这两种类型的企业的设立登记、变更备案、注销等全流程网上办理的申报系统。中山市商事登记全程电子化智能申报审批平台对接了国家市场监管总局、省市场监管局、市政务数据管理局、市自然资源局，以及水、电、煤、邮政等部门关联系统，建立了企业名称库、地址库、地址负面清单库、实名核身数据库、失信人员名单库、经营范围库、经营范围智能审批库、自然人受限名单库、非自然人受限名单库等基础数据库。</w:t>
            </w:r>
          </w:p>
          <w:p>
            <w:pPr>
              <w:pStyle w:val="3"/>
              <w:ind w:firstLine="0" w:firstLineChars="0"/>
              <w:rPr>
                <w:rFonts w:ascii="宋体" w:hAnsi="宋体" w:eastAsia="宋体" w:cs="宋体"/>
                <w:b/>
                <w:color w:val="auto"/>
                <w:highlight w:val="none"/>
              </w:rPr>
            </w:pPr>
            <w:r>
              <w:rPr>
                <w:rFonts w:hint="eastAsia" w:ascii="宋体" w:hAnsi="宋体" w:eastAsia="宋体" w:cs="宋体"/>
                <w:b/>
                <w:color w:val="auto"/>
                <w:highlight w:val="none"/>
              </w:rPr>
              <w:t>1.3.3.2.中山市住房和城乡建设管理信息系统</w:t>
            </w:r>
          </w:p>
          <w:p>
            <w:pPr>
              <w:ind w:firstLine="420" w:firstLineChars="200"/>
              <w:rPr>
                <w:color w:val="auto"/>
                <w:highlight w:val="none"/>
                <w:lang w:val="zh-TW"/>
              </w:rPr>
            </w:pPr>
            <w:r>
              <w:rPr>
                <w:rFonts w:hint="eastAsia" w:ascii="Times New Roman" w:hAnsi="Times New Roman"/>
                <w:color w:val="auto"/>
                <w:highlight w:val="none"/>
                <w:lang w:val="zh-TW" w:eastAsia="zh-TW"/>
              </w:rPr>
              <w:t>中山市住房和城乡建设管理信息系统</w:t>
            </w:r>
            <w:r>
              <w:rPr>
                <w:rFonts w:hint="eastAsia" w:ascii="Times New Roman" w:hAnsi="Times New Roman"/>
                <w:color w:val="auto"/>
                <w:highlight w:val="none"/>
              </w:rPr>
              <w:t>由市住建局于2015年建设</w:t>
            </w:r>
            <w:r>
              <w:rPr>
                <w:rFonts w:hint="eastAsia" w:ascii="Times New Roman" w:hAnsi="Times New Roman"/>
                <w:color w:val="auto"/>
                <w:highlight w:val="none"/>
                <w:lang w:val="zh-TW" w:eastAsia="zh-TW"/>
              </w:rPr>
              <w:t>。</w:t>
            </w:r>
            <w:r>
              <w:rPr>
                <w:rFonts w:hint="eastAsia" w:ascii="Times New Roman" w:hAnsi="Times New Roman"/>
                <w:color w:val="auto"/>
                <w:highlight w:val="none"/>
              </w:rPr>
              <w:t>该</w:t>
            </w:r>
            <w:r>
              <w:rPr>
                <w:rFonts w:hint="eastAsia" w:ascii="Times New Roman" w:hAnsi="Times New Roman"/>
                <w:color w:val="auto"/>
                <w:highlight w:val="none"/>
                <w:lang w:val="zh-TW" w:eastAsia="zh-TW"/>
              </w:rPr>
              <w:t>系统的建设内容包括：一个为企业办理各种业务提供信息化支撑的网上业务办理子系统，</w:t>
            </w:r>
            <w:r>
              <w:rPr>
                <w:rFonts w:hint="eastAsia" w:eastAsia="宋体"/>
                <w:color w:val="auto"/>
                <w:highlight w:val="none"/>
              </w:rPr>
              <w:t>一个面向施工许可申请和竣工验收备案的业务审批子系统</w:t>
            </w:r>
            <w:r>
              <w:rPr>
                <w:rFonts w:hint="eastAsia" w:ascii="Times New Roman" w:hAnsi="Times New Roman"/>
                <w:color w:val="auto"/>
                <w:highlight w:val="none"/>
                <w:lang w:val="zh-TW" w:eastAsia="zh-TW"/>
              </w:rPr>
              <w:t>，一个支撑质监站工作高效运作的质量监督管理子系统；一个用于管理各系统业务资料的电子档案管理子系统</w:t>
            </w:r>
            <w:r>
              <w:rPr>
                <w:rFonts w:hint="eastAsia" w:ascii="Times New Roman" w:hAnsi="Times New Roman"/>
                <w:color w:val="auto"/>
                <w:highlight w:val="none"/>
                <w:lang w:val="zh-TW"/>
              </w:rPr>
              <w:t>。</w:t>
            </w:r>
          </w:p>
          <w:p>
            <w:pPr>
              <w:pStyle w:val="3"/>
              <w:ind w:firstLine="0" w:firstLineChars="0"/>
              <w:rPr>
                <w:rFonts w:ascii="宋体" w:hAnsi="宋体" w:eastAsia="宋体" w:cs="宋体"/>
                <w:b/>
                <w:color w:val="auto"/>
                <w:highlight w:val="none"/>
              </w:rPr>
            </w:pPr>
            <w:r>
              <w:rPr>
                <w:rFonts w:hint="eastAsia" w:ascii="宋体" w:hAnsi="宋体" w:eastAsia="宋体" w:cs="宋体"/>
                <w:b/>
                <w:color w:val="auto"/>
                <w:highlight w:val="none"/>
              </w:rPr>
              <w:t>1.3.3.3.中山市新一代住房公积金管理系统</w:t>
            </w:r>
          </w:p>
          <w:p>
            <w:pPr>
              <w:ind w:firstLine="420" w:firstLineChars="200"/>
              <w:rPr>
                <w:color w:val="auto"/>
                <w:highlight w:val="none"/>
              </w:rPr>
            </w:pPr>
            <w:r>
              <w:rPr>
                <w:rFonts w:hint="eastAsia"/>
                <w:color w:val="auto"/>
                <w:highlight w:val="none"/>
              </w:rPr>
              <w:t>新一代住房公积金管理信息系统于2013年11月份开始建设，2014年10月正式上线运行。该系统是面向全中山市（含火炬开发区、东区、小榄、三乡四个办事处）3600多个缴存单位、30万多职工办理住房公积金开户、缴存、提取、贷款等业务，记载单位、职工住房公积金缴存、提取、贷款和提供相关查询服务的实时性生产系统，其业务量相当于本市一个中等规模的股份制商业银行。</w:t>
            </w:r>
          </w:p>
          <w:p>
            <w:pPr>
              <w:pStyle w:val="3"/>
              <w:ind w:firstLine="0" w:firstLineChars="0"/>
              <w:rPr>
                <w:rFonts w:ascii="宋体" w:hAnsi="宋体" w:eastAsia="宋体" w:cs="宋体"/>
                <w:b/>
                <w:color w:val="auto"/>
                <w:highlight w:val="none"/>
              </w:rPr>
            </w:pPr>
            <w:r>
              <w:rPr>
                <w:rFonts w:hint="eastAsia" w:ascii="宋体" w:hAnsi="宋体" w:eastAsia="宋体" w:cs="宋体"/>
                <w:b/>
                <w:color w:val="auto"/>
                <w:highlight w:val="none"/>
              </w:rPr>
              <w:t>1.3.3.4.中山市公共资源交易平台</w:t>
            </w:r>
          </w:p>
          <w:p>
            <w:pPr>
              <w:ind w:firstLine="420" w:firstLineChars="200"/>
              <w:rPr>
                <w:color w:val="auto"/>
                <w:highlight w:val="none"/>
              </w:rPr>
            </w:pPr>
            <w:r>
              <w:rPr>
                <w:rFonts w:hint="eastAsia"/>
                <w:color w:val="auto"/>
                <w:highlight w:val="none"/>
              </w:rPr>
              <w:t>中山市公共资源交易平台的建设是以中府（2013）127 号文</w:t>
            </w:r>
            <w:r>
              <w:rPr>
                <w:rFonts w:hint="eastAsia" w:eastAsia="宋体"/>
                <w:color w:val="auto"/>
                <w:highlight w:val="none"/>
              </w:rPr>
              <w:t>《中山市人民政府关于印发中山市公共资源交易项目目录（第一批）》</w:t>
            </w:r>
            <w:r>
              <w:rPr>
                <w:rFonts w:hint="eastAsia"/>
                <w:color w:val="auto"/>
                <w:highlight w:val="none"/>
              </w:rPr>
              <w:t>明确的交易范围为基础，借助信息化手段，打造一个集交易信息统一集中展示、交易服务、交易过程监控、网上招标至定标全过程监管等功能于一体的公开、公平、公正、阳光的中山市公共资源交易平台，作为中山市公共资源交易门户、公共资源网上办事大厅和数据共享中心；为公共资源交易提供“一户式”管理、“一网式”运行和“一站式”服务，形成互联互通的政府服务体系；用创新的体制、完善的制度和科技的手段，打造具有中山特色的廉洁高效的服务型政府。</w:t>
            </w:r>
          </w:p>
          <w:p>
            <w:pPr>
              <w:pStyle w:val="3"/>
              <w:ind w:firstLine="0" w:firstLineChars="0"/>
              <w:rPr>
                <w:color w:val="auto"/>
                <w:highlight w:val="none"/>
              </w:rPr>
            </w:pPr>
            <w:r>
              <w:rPr>
                <w:rFonts w:hint="eastAsia" w:ascii="宋体" w:hAnsi="宋体" w:eastAsia="宋体" w:cs="宋体"/>
                <w:b/>
                <w:color w:val="auto"/>
                <w:highlight w:val="none"/>
              </w:rPr>
              <w:t xml:space="preserve">1.3.3.5.中山市一照通行服务平台  </w:t>
            </w:r>
            <w:r>
              <w:rPr>
                <w:rFonts w:hint="eastAsia"/>
                <w:color w:val="auto"/>
                <w:highlight w:val="none"/>
              </w:rPr>
              <w:t xml:space="preserve"> </w:t>
            </w:r>
          </w:p>
          <w:p>
            <w:pPr>
              <w:ind w:firstLine="420" w:firstLineChars="200"/>
              <w:rPr>
                <w:color w:val="auto"/>
                <w:highlight w:val="none"/>
              </w:rPr>
            </w:pPr>
            <w:r>
              <w:rPr>
                <w:rFonts w:hint="eastAsia"/>
                <w:color w:val="auto"/>
                <w:highlight w:val="none"/>
              </w:rPr>
              <w:t>2022年中山市市场监督管理局搭建中山市“一照通行”服务平台，基于广东政务服务网建设中山市“一照通行”服务专区，作为中山市“一照通行”涉企审批服务的入口，将企业设立登记、刻章、申领发票、社保登记、银行开户、公积金缴存登记6大环节及多业态经营涉及的37个涉企高频许可（30个省级许可+7个本级许可）进行深度整合，以简化、高效、实用为原则，通过优化申办流程、组合表单填写、多部门并行审批等手段，实现“一次申办、一表申办、一键分办、一步办结”功能，以达到便民利企、高效审批的目的。</w:t>
            </w:r>
          </w:p>
          <w:p>
            <w:pPr>
              <w:pStyle w:val="3"/>
              <w:ind w:firstLine="0" w:firstLineChars="0"/>
              <w:rPr>
                <w:rFonts w:ascii="宋体" w:hAnsi="宋体" w:eastAsia="宋体" w:cs="宋体"/>
                <w:b/>
                <w:color w:val="auto"/>
                <w:highlight w:val="none"/>
              </w:rPr>
            </w:pPr>
            <w:r>
              <w:rPr>
                <w:rFonts w:hint="eastAsia" w:ascii="宋体" w:hAnsi="宋体" w:eastAsia="宋体" w:cs="宋体"/>
                <w:b/>
                <w:color w:val="auto"/>
                <w:highlight w:val="none"/>
              </w:rPr>
              <w:t>1.3.3.6公共服务网上自助申报系统</w:t>
            </w:r>
          </w:p>
          <w:p>
            <w:pPr>
              <w:ind w:firstLine="420" w:firstLineChars="200"/>
              <w:rPr>
                <w:color w:val="auto"/>
                <w:highlight w:val="none"/>
              </w:rPr>
            </w:pPr>
            <w:r>
              <w:rPr>
                <w:rFonts w:hint="eastAsia"/>
                <w:color w:val="auto"/>
                <w:highlight w:val="none"/>
              </w:rPr>
              <w:t>中山市人力资源和社会保障局公共服务网上自助申报系统，是目前人社业务统一的在线申报系统，提供针对人社口径业务的申报、查询等。通过各类业务事项的在线信息采集、证明材料上报并且充分依托自身数据及第三方平台接口进行动态规则核验等方式，提高了申报数据质量，从而促进了后台受理审批的办事效率。</w:t>
            </w:r>
          </w:p>
          <w:p>
            <w:pPr>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ascii="宋体" w:hAnsi="宋体" w:eastAsia="宋体" w:cs="宋体"/>
                <w:b/>
                <w:color w:val="auto"/>
                <w:szCs w:val="21"/>
                <w:highlight w:val="none"/>
              </w:rPr>
              <w:t>.4</w:t>
            </w:r>
            <w:r>
              <w:rPr>
                <w:rFonts w:hint="eastAsia" w:ascii="宋体" w:hAnsi="宋体" w:eastAsia="宋体" w:cs="宋体"/>
                <w:b/>
                <w:color w:val="auto"/>
                <w:szCs w:val="21"/>
                <w:highlight w:val="none"/>
              </w:rPr>
              <w:t>建设内容</w:t>
            </w:r>
          </w:p>
          <w:p>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本项目要求对我市政务用证系统进行省“数字空间”的对接和等保三级安全整改升级，具体建设内容如下：</w:t>
            </w:r>
          </w:p>
          <w:tbl>
            <w:tblPr>
              <w:tblStyle w:val="7"/>
              <w:tblW w:w="4994" w:type="pct"/>
              <w:tblInd w:w="0" w:type="dxa"/>
              <w:tblLayout w:type="fixed"/>
              <w:tblCellMar>
                <w:top w:w="0" w:type="dxa"/>
                <w:left w:w="108" w:type="dxa"/>
                <w:bottom w:w="0" w:type="dxa"/>
                <w:right w:w="108" w:type="dxa"/>
              </w:tblCellMar>
            </w:tblPr>
            <w:tblGrid>
              <w:gridCol w:w="646"/>
              <w:gridCol w:w="2300"/>
              <w:gridCol w:w="2446"/>
              <w:gridCol w:w="1204"/>
              <w:gridCol w:w="1459"/>
            </w:tblGrid>
            <w:tr>
              <w:tblPrEx>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用证系统</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用证单位</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对接省“数字空间”</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等保三级安全整改升级</w:t>
                  </w:r>
                </w:p>
              </w:tc>
            </w:tr>
            <w:tr>
              <w:tblPrEx>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中山市商事登记全程电子化智能申报审批平台</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中山市市场监督管理局</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r>
            <w:tr>
              <w:tblPrEx>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中山市一照通行服务平台</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中山市市场监督管理局</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r>
            <w:tr>
              <w:tblPrEx>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中山市住房和城乡建设管理信息系统</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中山市住房城乡建设局</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r>
            <w:tr>
              <w:tblPrEx>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新一代住房公积金管理系统</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中山市住房公积金管理中心</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不需要</w:t>
                  </w:r>
                </w:p>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（已是三级）</w:t>
                  </w:r>
                </w:p>
              </w:tc>
            </w:tr>
            <w:tr>
              <w:tblPrEx>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中山市公共资源交易平台</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中山市公共资源交易中心</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不需要</w:t>
                  </w:r>
                </w:p>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（已是三级）</w:t>
                  </w:r>
                </w:p>
              </w:tc>
            </w:tr>
            <w:tr>
              <w:tblPrEx>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公共服务网上自助申报系统</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中山市人力资源和社会保障局</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w:t>
                  </w:r>
                </w:p>
              </w:tc>
            </w:tr>
          </w:tbl>
          <w:p>
            <w:pPr>
              <w:pStyle w:val="3"/>
              <w:ind w:firstLine="0" w:firstLineChars="0"/>
              <w:rPr>
                <w:rFonts w:hint="eastAsia" w:eastAsia="宋体"/>
                <w:color w:val="auto"/>
                <w:highlight w:val="none"/>
                <w:lang w:val="en-US" w:eastAsia="zh-CN"/>
              </w:rPr>
            </w:pPr>
            <w:r>
              <w:rPr>
                <w:rFonts w:hint="eastAsia" w:ascii="宋体" w:hAnsi="宋体" w:eastAsia="宋体" w:cs="宋体"/>
                <w:b/>
                <w:bCs/>
                <w:color w:val="auto"/>
                <w:highlight w:val="none"/>
                <w:lang w:eastAsia="zh-CN"/>
              </w:rPr>
              <w:t>备注：需要对以上序号</w:t>
            </w:r>
            <w:r>
              <w:rPr>
                <w:rFonts w:hint="eastAsia" w:ascii="宋体" w:hAnsi="宋体" w:eastAsia="宋体" w:cs="宋体"/>
                <w:b/>
                <w:bCs/>
                <w:color w:val="auto"/>
                <w:highlight w:val="none"/>
                <w:lang w:val="en-US" w:eastAsia="zh-CN"/>
              </w:rPr>
              <w:t>1、2、3、6共四个</w:t>
            </w:r>
            <w:r>
              <w:rPr>
                <w:rFonts w:hint="eastAsia" w:ascii="宋体" w:hAnsi="宋体" w:eastAsia="宋体" w:cs="宋体"/>
                <w:b/>
                <w:bCs/>
                <w:color w:val="auto"/>
                <w:highlight w:val="none"/>
                <w:lang w:eastAsia="zh-CN"/>
              </w:rPr>
              <w:t>系统分别出具</w:t>
            </w:r>
            <w:r>
              <w:rPr>
                <w:rFonts w:hint="eastAsia" w:ascii="宋体" w:hAnsi="宋体" w:eastAsia="宋体" w:cs="宋体"/>
                <w:b/>
                <w:bCs/>
                <w:color w:val="auto"/>
                <w:szCs w:val="21"/>
                <w:highlight w:val="none"/>
              </w:rPr>
              <w:t>单独</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等保报告</w:t>
            </w:r>
            <w:r>
              <w:rPr>
                <w:rFonts w:hint="eastAsia" w:ascii="宋体" w:hAnsi="宋体" w:eastAsia="宋体" w:cs="宋体"/>
                <w:b/>
                <w:bCs/>
                <w:color w:val="auto"/>
                <w:szCs w:val="21"/>
                <w:highlight w:val="none"/>
                <w:lang w:eastAsia="zh-CN"/>
              </w:rPr>
              <w:t>。</w:t>
            </w:r>
          </w:p>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8" w:hRule="atLeast"/>
        </w:trPr>
        <w:tc>
          <w:tcPr>
            <w:tcW w:w="426" w:type="dxa"/>
          </w:tcPr>
          <w:p>
            <w:pPr>
              <w:rPr>
                <w:color w:val="auto"/>
                <w:highlight w:val="none"/>
              </w:rPr>
            </w:pPr>
          </w:p>
        </w:tc>
        <w:tc>
          <w:tcPr>
            <w:tcW w:w="654" w:type="dxa"/>
          </w:tcPr>
          <w:p>
            <w:pPr>
              <w:rPr>
                <w:color w:val="auto"/>
                <w:highlight w:val="none"/>
              </w:rPr>
            </w:pPr>
            <w:r>
              <w:rPr>
                <w:color w:val="auto"/>
                <w:highlight w:val="none"/>
              </w:rPr>
              <w:t>2</w:t>
            </w:r>
          </w:p>
        </w:tc>
        <w:tc>
          <w:tcPr>
            <w:tcW w:w="8281" w:type="dxa"/>
          </w:tcPr>
          <w:p>
            <w:pPr>
              <w:rPr>
                <w:b/>
                <w:color w:val="auto"/>
                <w:highlight w:val="none"/>
              </w:rPr>
            </w:pPr>
            <w:r>
              <w:rPr>
                <w:rFonts w:hint="eastAsia"/>
                <w:b/>
                <w:color w:val="auto"/>
                <w:highlight w:val="none"/>
              </w:rPr>
              <w:t>2项目需求</w:t>
            </w:r>
          </w:p>
          <w:p>
            <w:pPr>
              <w:rPr>
                <w:b/>
                <w:color w:val="auto"/>
                <w:highlight w:val="none"/>
              </w:rPr>
            </w:pPr>
            <w:r>
              <w:rPr>
                <w:b/>
                <w:color w:val="auto"/>
                <w:highlight w:val="none"/>
              </w:rPr>
              <w:t>2</w:t>
            </w:r>
            <w:r>
              <w:rPr>
                <w:rFonts w:hint="eastAsia"/>
                <w:b/>
                <w:color w:val="auto"/>
                <w:highlight w:val="none"/>
              </w:rPr>
              <w:t>.</w:t>
            </w:r>
            <w:r>
              <w:rPr>
                <w:b/>
                <w:color w:val="auto"/>
                <w:highlight w:val="none"/>
              </w:rPr>
              <w:t>1</w:t>
            </w:r>
            <w:r>
              <w:rPr>
                <w:rFonts w:hint="eastAsia"/>
                <w:b/>
                <w:color w:val="auto"/>
                <w:highlight w:val="none"/>
              </w:rPr>
              <w:t>用户需求</w:t>
            </w:r>
          </w:p>
          <w:p>
            <w:pPr>
              <w:ind w:firstLine="420" w:firstLineChars="200"/>
              <w:rPr>
                <w:color w:val="auto"/>
                <w:highlight w:val="none"/>
              </w:rPr>
            </w:pPr>
            <w:r>
              <w:rPr>
                <w:rFonts w:hint="eastAsia"/>
                <w:color w:val="auto"/>
                <w:highlight w:val="none"/>
              </w:rPr>
              <w:t>政务用证系统的用户主要为自然人、法人（经办人员）、系统业务操作员和系统管理员等用户。本项目要求通过对政务用证系统进行对接和等保升级后，对原系统用户的使用操作不产生较大影响。</w:t>
            </w:r>
          </w:p>
          <w:p>
            <w:pPr>
              <w:rPr>
                <w:b/>
                <w:color w:val="auto"/>
                <w:highlight w:val="none"/>
              </w:rPr>
            </w:pPr>
            <w:r>
              <w:rPr>
                <w:b/>
                <w:color w:val="auto"/>
                <w:highlight w:val="none"/>
              </w:rPr>
              <w:t>2.2</w:t>
            </w:r>
            <w:r>
              <w:rPr>
                <w:rFonts w:hint="eastAsia"/>
                <w:b/>
                <w:color w:val="auto"/>
                <w:highlight w:val="none"/>
              </w:rPr>
              <w:t>业务需求</w:t>
            </w:r>
          </w:p>
          <w:p>
            <w:pPr>
              <w:ind w:firstLine="420" w:firstLineChars="200"/>
              <w:rPr>
                <w:color w:val="auto"/>
                <w:highlight w:val="none"/>
              </w:rPr>
            </w:pPr>
            <w:r>
              <w:rPr>
                <w:rFonts w:hint="eastAsia"/>
                <w:color w:val="auto"/>
                <w:highlight w:val="none"/>
              </w:rPr>
              <w:t>本项目要求对中山市商事登记全程电子化智能申报审批平台、中山市住房和城乡建设管理信息系统、中山市自然资源政务信息平台、新一代住房公积金管理系统、中山市公共资源交易平台、中山市一照通行服务平台和公共服务网上自助申报系统等进行等保整改升级、对接数字空间工作。</w:t>
            </w:r>
          </w:p>
          <w:p>
            <w:pPr>
              <w:rPr>
                <w:b/>
                <w:color w:val="auto"/>
                <w:highlight w:val="none"/>
              </w:rPr>
            </w:pPr>
            <w:r>
              <w:rPr>
                <w:b/>
                <w:color w:val="auto"/>
                <w:highlight w:val="none"/>
              </w:rPr>
              <w:t>2.3</w:t>
            </w:r>
            <w:r>
              <w:rPr>
                <w:rFonts w:hint="eastAsia"/>
                <w:b/>
                <w:color w:val="auto"/>
                <w:highlight w:val="none"/>
              </w:rPr>
              <w:t>功能需求</w:t>
            </w:r>
          </w:p>
          <w:p>
            <w:pPr>
              <w:ind w:firstLine="420" w:firstLineChars="200"/>
              <w:rPr>
                <w:color w:val="auto"/>
                <w:highlight w:val="none"/>
              </w:rPr>
            </w:pPr>
            <w:r>
              <w:rPr>
                <w:rFonts w:hint="eastAsia"/>
                <w:color w:val="auto"/>
                <w:highlight w:val="none"/>
              </w:rPr>
              <w:t>具体分为个人“数字空间”与法人“数字空间”。个人“数字空间”可实现“使用自己的数据必须经过本人授权”的方式。通过出示个人“数字空间”数据码、粤省事码等形式，可授权对方使用自己个人“数字空间”内的特定数据。在此过程中，数据使用方、使用事由等信息，将通过省政务服务数据管理局的“数据资产凭证”生成不可抵赖的记录。与采用个人“数字空间”模式相似，对接法人“数字空间”也可实现在线授权方式，实现企业法人各类数据和证照的线上授权交易，减少或免除纸质材料。</w:t>
            </w:r>
          </w:p>
          <w:p>
            <w:pPr>
              <w:rPr>
                <w:b/>
                <w:color w:val="auto"/>
                <w:highlight w:val="none"/>
              </w:rPr>
            </w:pPr>
            <w:r>
              <w:rPr>
                <w:rFonts w:hint="eastAsia"/>
                <w:b/>
                <w:color w:val="auto"/>
                <w:highlight w:val="none"/>
              </w:rPr>
              <w:t>2.4性能需求</w:t>
            </w:r>
          </w:p>
          <w:p>
            <w:pPr>
              <w:ind w:firstLine="420" w:firstLineChars="200"/>
              <w:rPr>
                <w:rFonts w:cs="Times New Roman"/>
                <w:color w:val="auto"/>
                <w:highlight w:val="none"/>
              </w:rPr>
            </w:pPr>
            <w:r>
              <w:rPr>
                <w:rFonts w:hint="eastAsia" w:cs="Times New Roman"/>
                <w:color w:val="auto"/>
                <w:highlight w:val="none"/>
              </w:rPr>
              <w:t>本项目要求政务用证系统对接省“数字空间”后，在用证系统侧，接口的调用需符合以下的性能需求：</w:t>
            </w:r>
          </w:p>
          <w:p>
            <w:pPr>
              <w:ind w:firstLine="420" w:firstLineChars="200"/>
              <w:rPr>
                <w:rFonts w:cs="Times New Roman"/>
                <w:color w:val="auto"/>
                <w:highlight w:val="none"/>
              </w:rPr>
            </w:pPr>
            <w:r>
              <w:rPr>
                <w:rFonts w:hint="eastAsia" w:cs="Times New Roman"/>
                <w:color w:val="auto"/>
                <w:highlight w:val="none"/>
              </w:rPr>
              <w:t>（1）响应时间：在用证系统侧，从发送用证请求到接收到授权页面所经过的响应时间，应不大于1000ms。</w:t>
            </w:r>
          </w:p>
          <w:p>
            <w:pPr>
              <w:ind w:firstLine="420" w:firstLineChars="200"/>
              <w:rPr>
                <w:rFonts w:cs="Times New Roman"/>
                <w:color w:val="auto"/>
                <w:highlight w:val="none"/>
              </w:rPr>
            </w:pPr>
            <w:r>
              <w:rPr>
                <w:rFonts w:hint="eastAsia" w:cs="Times New Roman"/>
                <w:color w:val="auto"/>
                <w:highlight w:val="none"/>
              </w:rPr>
              <w:t>（2）并发能力：在用证系统侧，系统能够同时处理的并发请求数量应不低于原用证系统并发能力指标。</w:t>
            </w:r>
          </w:p>
          <w:p>
            <w:pPr>
              <w:ind w:firstLine="420" w:firstLineChars="200"/>
              <w:rPr>
                <w:rFonts w:cs="Times New Roman"/>
                <w:color w:val="auto"/>
                <w:highlight w:val="none"/>
              </w:rPr>
            </w:pPr>
            <w:r>
              <w:rPr>
                <w:rFonts w:hint="eastAsia" w:cs="Times New Roman"/>
                <w:color w:val="auto"/>
                <w:highlight w:val="none"/>
              </w:rPr>
              <w:t>（3）容错性：在用证系统侧，系统在遇到接口调用异常或错误时，能够继续正常工作或者迅速恢复正常工作状态。</w:t>
            </w:r>
          </w:p>
          <w:p>
            <w:pPr>
              <w:ind w:firstLine="420" w:firstLineChars="200"/>
              <w:rPr>
                <w:rFonts w:cs="Times New Roman"/>
                <w:color w:val="auto"/>
                <w:highlight w:val="none"/>
              </w:rPr>
            </w:pPr>
            <w:r>
              <w:rPr>
                <w:rFonts w:hint="eastAsia" w:cs="Times New Roman"/>
                <w:color w:val="auto"/>
                <w:highlight w:val="none"/>
              </w:rPr>
              <w:t>（4）稳定性：在用证系统侧，系统在长时间运行或高负载情况下的接口调用稳定，每月故障数量不高于3次。</w:t>
            </w:r>
          </w:p>
          <w:p>
            <w:pPr>
              <w:ind w:firstLine="420" w:firstLineChars="200"/>
              <w:rPr>
                <w:rFonts w:cs="Times New Roman"/>
                <w:color w:val="auto"/>
                <w:highlight w:val="none"/>
              </w:rPr>
            </w:pPr>
            <w:r>
              <w:rPr>
                <w:rFonts w:hint="eastAsia" w:cs="Times New Roman"/>
                <w:color w:val="auto"/>
                <w:highlight w:val="none"/>
              </w:rPr>
              <w:t>（5）安全性：在用证系统侧，接口调用应具备安全保护机制，包括数据传输的加密、访问控制和防止恶意攻击等。</w:t>
            </w:r>
          </w:p>
          <w:p>
            <w:pPr>
              <w:ind w:firstLine="420" w:firstLineChars="200"/>
              <w:rPr>
                <w:color w:val="auto"/>
                <w:highlight w:val="none"/>
              </w:rPr>
            </w:pPr>
            <w:r>
              <w:rPr>
                <w:rFonts w:hint="eastAsia" w:cs="Times New Roman"/>
                <w:color w:val="auto"/>
                <w:highlight w:val="none"/>
              </w:rPr>
              <w:t>（6）可监控性：在用证系统侧，系统对接口调用应具备监控能力，包括日志记录、性能指标监控和异常检测等。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2" w:hRule="atLeast"/>
        </w:trPr>
        <w:tc>
          <w:tcPr>
            <w:tcW w:w="426" w:type="dxa"/>
          </w:tcPr>
          <w:p>
            <w:pPr>
              <w:rPr>
                <w:color w:val="auto"/>
                <w:highlight w:val="none"/>
              </w:rPr>
            </w:pPr>
          </w:p>
        </w:tc>
        <w:tc>
          <w:tcPr>
            <w:tcW w:w="654" w:type="dxa"/>
          </w:tcPr>
          <w:p>
            <w:pPr>
              <w:rPr>
                <w:color w:val="auto"/>
                <w:highlight w:val="none"/>
              </w:rPr>
            </w:pPr>
            <w:r>
              <w:rPr>
                <w:color w:val="auto"/>
                <w:highlight w:val="none"/>
              </w:rPr>
              <w:t>3</w:t>
            </w:r>
          </w:p>
        </w:tc>
        <w:tc>
          <w:tcPr>
            <w:tcW w:w="8281" w:type="dxa"/>
          </w:tcPr>
          <w:p>
            <w:pPr>
              <w:rPr>
                <w:b/>
                <w:bCs/>
                <w:color w:val="auto"/>
                <w:highlight w:val="none"/>
              </w:rPr>
            </w:pPr>
            <w:r>
              <w:rPr>
                <w:rFonts w:hint="eastAsia"/>
                <w:b/>
                <w:bCs/>
                <w:color w:val="auto"/>
                <w:highlight w:val="none"/>
              </w:rPr>
              <w:t>3省“数字空间”接入服务需求</w:t>
            </w:r>
          </w:p>
          <w:p>
            <w:pPr>
              <w:rPr>
                <w:rFonts w:ascii="宋体" w:hAnsi="宋体" w:eastAsia="宋体" w:cs="宋体"/>
                <w:b/>
                <w:bCs/>
                <w:color w:val="auto"/>
                <w:highlight w:val="none"/>
              </w:rPr>
            </w:pPr>
            <w:r>
              <w:rPr>
                <w:rFonts w:ascii="宋体" w:hAnsi="宋体" w:eastAsia="宋体" w:cs="宋体"/>
                <w:b/>
                <w:bCs/>
                <w:color w:val="auto"/>
                <w:highlight w:val="none"/>
              </w:rPr>
              <w:t>3.1</w:t>
            </w:r>
            <w:r>
              <w:rPr>
                <w:rFonts w:hint="eastAsia" w:ascii="宋体" w:hAnsi="宋体" w:eastAsia="宋体" w:cs="宋体"/>
                <w:b/>
                <w:bCs/>
                <w:color w:val="auto"/>
                <w:highlight w:val="none"/>
              </w:rPr>
              <w:t>省“数字空间”接入服务概述</w:t>
            </w:r>
          </w:p>
          <w:p>
            <w:pPr>
              <w:rPr>
                <w:rFonts w:ascii="宋体" w:hAnsi="宋体" w:eastAsia="宋体" w:cs="宋体"/>
                <w:b/>
                <w:bCs/>
                <w:color w:val="auto"/>
                <w:highlight w:val="none"/>
              </w:rPr>
            </w:pPr>
            <w:r>
              <w:rPr>
                <w:rFonts w:ascii="宋体" w:hAnsi="宋体" w:eastAsia="宋体" w:cs="宋体"/>
                <w:b/>
                <w:bCs/>
                <w:color w:val="auto"/>
                <w:highlight w:val="none"/>
              </w:rPr>
              <w:t>3.1.1</w:t>
            </w:r>
            <w:r>
              <w:rPr>
                <w:rFonts w:hint="eastAsia" w:ascii="宋体" w:hAnsi="宋体" w:eastAsia="宋体" w:cs="宋体"/>
                <w:b/>
                <w:bCs/>
                <w:color w:val="auto"/>
                <w:highlight w:val="none"/>
              </w:rPr>
              <w:t>省“数字空间”介绍及要求</w:t>
            </w:r>
          </w:p>
          <w:p>
            <w:pPr>
              <w:ind w:firstLine="420" w:firstLineChars="200"/>
              <w:rPr>
                <w:rFonts w:ascii="宋体" w:hAnsi="宋体" w:eastAsia="宋体" w:cs="宋体"/>
                <w:color w:val="auto"/>
                <w:highlight w:val="none"/>
              </w:rPr>
            </w:pPr>
            <w:r>
              <w:rPr>
                <w:rFonts w:hint="eastAsia" w:ascii="宋体" w:hAnsi="宋体" w:eastAsia="宋体" w:cs="宋体"/>
                <w:color w:val="auto"/>
                <w:highlight w:val="none"/>
              </w:rPr>
              <w:t>基于坚持“以人民为中心”的服务理念，广东省建设上线了“数字空间”， 构建了“实人认证-明示用途-主动授权-记录存证”的用数模式。“数字空间”分为“个人数字空间”和“法人数字空间”。“个人数字空间”，面向自然人提供数据主体证照和数据展示、数据授权使用等能力，面向自然人业务办理系统提供标准对接能力，满足业务办理系统数据流通需求，目前“个人数字空间”已在粤省事小程序、APP上线运行。“法人数字空间”面向企业法人提供企业证照和数据展示、数据授权使用等能力，面向法人业务办理系统提供标准对接能力，满足法人业务办理系统数据流通需求，目前“法人数字空间”已在粤商通APP上线运行。</w:t>
            </w:r>
          </w:p>
          <w:p>
            <w:pPr>
              <w:ind w:firstLine="420" w:firstLineChars="200"/>
              <w:rPr>
                <w:rFonts w:ascii="宋体" w:hAnsi="宋体" w:eastAsia="宋体" w:cs="宋体"/>
                <w:color w:val="auto"/>
                <w:highlight w:val="none"/>
              </w:rPr>
            </w:pPr>
            <w:r>
              <w:rPr>
                <w:rFonts w:hint="eastAsia"/>
                <w:color w:val="auto"/>
                <w:highlight w:val="none"/>
              </w:rPr>
              <w:t>（1）</w:t>
            </w:r>
            <w:r>
              <w:rPr>
                <w:rFonts w:hint="eastAsia" w:ascii="宋体" w:hAnsi="宋体" w:eastAsia="宋体" w:cs="宋体"/>
                <w:color w:val="auto"/>
                <w:highlight w:val="none"/>
              </w:rPr>
              <w:t>安全要求：按照信息安全相关要求，对接方业务系统需满足网络安全等级三级及以上测评，并提供用证系统安全自查表（45项及佐证材料）。</w:t>
            </w:r>
          </w:p>
          <w:p>
            <w:pPr>
              <w:ind w:firstLine="420" w:firstLineChars="200"/>
              <w:rPr>
                <w:rFonts w:ascii="宋体" w:hAnsi="宋体" w:eastAsia="宋体" w:cs="宋体"/>
                <w:color w:val="auto"/>
                <w:highlight w:val="none"/>
              </w:rPr>
            </w:pPr>
            <w:r>
              <w:rPr>
                <w:rFonts w:hint="eastAsia"/>
                <w:color w:val="auto"/>
                <w:highlight w:val="none"/>
              </w:rPr>
              <w:t>（2）环境要求</w:t>
            </w:r>
            <w:r>
              <w:rPr>
                <w:rFonts w:hint="eastAsia" w:ascii="宋体" w:hAnsi="宋体" w:eastAsia="宋体" w:cs="宋体"/>
                <w:color w:val="auto"/>
                <w:highlight w:val="none"/>
              </w:rPr>
              <w:t>：数字空间后端服务部署于省政务云平台，运行在政务外网环境。前端部署、运行在互联网环境。申请对接的业务系统，要求部署在政务外网环境下。</w:t>
            </w:r>
          </w:p>
          <w:p>
            <w:pPr>
              <w:rPr>
                <w:b/>
                <w:bCs/>
                <w:color w:val="auto"/>
                <w:highlight w:val="none"/>
              </w:rPr>
            </w:pPr>
            <w:r>
              <w:rPr>
                <w:b/>
                <w:bCs/>
                <w:color w:val="auto"/>
                <w:highlight w:val="none"/>
              </w:rPr>
              <w:t>3.1.2</w:t>
            </w:r>
            <w:r>
              <w:rPr>
                <w:rFonts w:hint="eastAsia"/>
                <w:b/>
                <w:bCs/>
                <w:color w:val="auto"/>
                <w:highlight w:val="none"/>
              </w:rPr>
              <w:t>省数字空间接入流程</w:t>
            </w:r>
          </w:p>
          <w:p>
            <w:pPr>
              <w:ind w:firstLine="420" w:firstLineChars="200"/>
              <w:rPr>
                <w:color w:val="auto"/>
                <w:highlight w:val="none"/>
              </w:rPr>
            </w:pPr>
            <w:r>
              <w:rPr>
                <w:rFonts w:hint="eastAsia"/>
                <w:color w:val="auto"/>
                <w:highlight w:val="none"/>
              </w:rPr>
              <w:t>服务方须先</w:t>
            </w:r>
            <w:r>
              <w:rPr>
                <w:rFonts w:hint="eastAsia" w:ascii="宋体" w:hAnsi="宋体" w:eastAsia="宋体" w:cs="宋体"/>
                <w:color w:val="auto"/>
                <w:highlight w:val="none"/>
              </w:rPr>
              <w:t>提供对接数字空间的系统基础信息</w:t>
            </w:r>
            <w:r>
              <w:rPr>
                <w:rFonts w:hint="eastAsia"/>
                <w:color w:val="auto"/>
                <w:highlight w:val="none"/>
              </w:rPr>
              <w:t>，填写接入需求调研表，向省数字空间运营方提交需求调研表，并与省数字空间运营方沟通确定省数字空间对接方案，网络环境策略打通，提供</w:t>
            </w:r>
            <w:r>
              <w:rPr>
                <w:rFonts w:hint="eastAsia" w:ascii="宋体" w:hAnsi="宋体" w:eastAsia="宋体" w:cs="宋体"/>
                <w:color w:val="auto"/>
                <w:highlight w:val="none"/>
              </w:rPr>
              <w:t>用证系统安全自查表（45项及佐证材料），</w:t>
            </w:r>
            <w:r>
              <w:rPr>
                <w:rFonts w:hint="eastAsia"/>
                <w:color w:val="auto"/>
                <w:highlight w:val="none"/>
              </w:rPr>
              <w:t>然后开始接口开发并及时向甲方、省数字空间运营方反馈开发计划和进度情况。完成接入开发后，服务方与省数字空间运营方分别在测试环境、生产环境共同进行联调测试。测试通过后，正式上线运行，并及时把成效反馈给甲方、省数字空间运营方。具体接入工作流程需包括：行政报备、对接需求分析、系统安全检查、网络策略开通、测试环境联调、安全检查通过申请正式接口、对接联调、服务上线等8个步骤。</w:t>
            </w:r>
          </w:p>
          <w:p>
            <w:pPr>
              <w:rPr>
                <w:b/>
                <w:bCs/>
                <w:color w:val="auto"/>
                <w:highlight w:val="none"/>
              </w:rPr>
            </w:pPr>
            <w:r>
              <w:rPr>
                <w:b/>
                <w:bCs/>
                <w:color w:val="auto"/>
                <w:highlight w:val="none"/>
              </w:rPr>
              <w:t>3.</w:t>
            </w:r>
            <w:r>
              <w:rPr>
                <w:rFonts w:hint="eastAsia"/>
                <w:b/>
                <w:bCs/>
                <w:color w:val="auto"/>
                <w:highlight w:val="none"/>
              </w:rPr>
              <w:t>2个人“数字空间”接入服务需求</w:t>
            </w:r>
          </w:p>
          <w:p>
            <w:pPr>
              <w:ind w:firstLine="420" w:firstLineChars="200"/>
              <w:rPr>
                <w:color w:val="auto"/>
                <w:highlight w:val="none"/>
              </w:rPr>
            </w:pPr>
            <w:r>
              <w:rPr>
                <w:rFonts w:hint="eastAsia"/>
                <w:color w:val="auto"/>
                <w:highlight w:val="none"/>
              </w:rPr>
              <w:t>个人数字空间主要有5个应用场景，分别是：</w:t>
            </w:r>
          </w:p>
          <w:p>
            <w:pPr>
              <w:ind w:firstLine="420" w:firstLineChars="200"/>
              <w:rPr>
                <w:color w:val="auto"/>
                <w:highlight w:val="none"/>
              </w:rPr>
            </w:pPr>
            <w:r>
              <w:rPr>
                <w:rFonts w:hint="eastAsia"/>
                <w:color w:val="auto"/>
                <w:highlight w:val="none"/>
              </w:rPr>
              <w:t>（1）应用场景1：通过粤省事码调用个人数字空间授权用数</w:t>
            </w:r>
          </w:p>
          <w:p>
            <w:pPr>
              <w:ind w:firstLine="420" w:firstLineChars="200"/>
              <w:rPr>
                <w:color w:val="auto"/>
                <w:highlight w:val="none"/>
              </w:rPr>
            </w:pPr>
            <w:r>
              <w:rPr>
                <w:rFonts w:hint="eastAsia"/>
                <w:color w:val="auto"/>
                <w:highlight w:val="none"/>
              </w:rPr>
              <w:t>该场景通过粤省事码（粤省事小程序、粤省事APP）作为前端、个人数字空间作为后端提供个人数据服务。群众到办事大厅办理业务事项时，登录粤省事（APP、小程序），出示粤省事码，办事大厅工作人员通过扫码枪扫群众粤省事码，办事所需的证照和数据即展示在个人数字空间授权页，确认无误后进行授权签名。经个人授权后，办理业务所需的个人相关证照和数据，由个人数字空间传输到用证系统，用于事项办理。本项目要求提供应用场景描述、业务系统对接时序设计、相关接口详细描述等内容。</w:t>
            </w:r>
          </w:p>
          <w:p>
            <w:pPr>
              <w:ind w:firstLine="420" w:firstLineChars="200"/>
              <w:rPr>
                <w:color w:val="auto"/>
                <w:highlight w:val="none"/>
              </w:rPr>
            </w:pPr>
            <w:r>
              <w:rPr>
                <w:rFonts w:hint="eastAsia"/>
                <w:color w:val="auto"/>
                <w:highlight w:val="none"/>
              </w:rPr>
              <w:t>（2）应用场景2：用户扫描办事码调用个人数字空间授权用数</w:t>
            </w:r>
          </w:p>
          <w:p>
            <w:pPr>
              <w:ind w:firstLine="420" w:firstLineChars="200"/>
              <w:rPr>
                <w:color w:val="auto"/>
                <w:highlight w:val="none"/>
              </w:rPr>
            </w:pPr>
            <w:r>
              <w:rPr>
                <w:rFonts w:hint="eastAsia"/>
                <w:color w:val="auto"/>
                <w:highlight w:val="none"/>
              </w:rPr>
              <w:t>该场景需要用证系统调用数字空间生成办事码能力（动态码，五分钟刷新一次），用证系统或者业务人员可通过PC申请页面、手持移动终端、大厅展示终端向办事群众展示办事码。群众通过微信扫一扫，扫办事大厅办事码，即可调起个人数字空间小程序完成个人授权用证用数流程，认证通过后进入授权页，预先配置所需的证照和数据即展示在该页面，确认无误后进行授权签名。经个人授权后，办理业务所需的个人相关证照和数据，由个人数字空间传输到用证系统，用于事项办理。</w:t>
            </w:r>
          </w:p>
          <w:p>
            <w:pPr>
              <w:ind w:firstLine="420" w:firstLineChars="200"/>
              <w:rPr>
                <w:color w:val="auto"/>
                <w:highlight w:val="none"/>
              </w:rPr>
            </w:pPr>
            <w:r>
              <w:rPr>
                <w:rFonts w:hint="eastAsia"/>
                <w:color w:val="auto"/>
                <w:highlight w:val="none"/>
              </w:rPr>
              <w:t>（3）应用场景3：移动端应用调用个人数字空间授权用数</w:t>
            </w:r>
          </w:p>
          <w:p>
            <w:pPr>
              <w:ind w:firstLine="420" w:firstLineChars="200"/>
              <w:rPr>
                <w:color w:val="auto"/>
                <w:highlight w:val="none"/>
              </w:rPr>
            </w:pPr>
            <w:r>
              <w:rPr>
                <w:rFonts w:hint="eastAsia"/>
                <w:color w:val="auto"/>
                <w:highlight w:val="none"/>
              </w:rPr>
              <w:t>该场景为个人通过移动端政务服务/社会化应用APP或者小程序/公众号进行事项办理。通过点击获取个人数字空间数据按钮，调起个人数字空间小程序进行授权用数流程，进入授权页后，预先设置所需的证照和数据即展示在该页面，确认无误后进行授权签名。经个人授权后，办理业务所需的个人相关证照和数据，由个人数字空间传输到用证系统，用于事项办理。</w:t>
            </w:r>
          </w:p>
          <w:p>
            <w:pPr>
              <w:ind w:firstLine="420" w:firstLineChars="200"/>
              <w:rPr>
                <w:color w:val="auto"/>
                <w:highlight w:val="none"/>
              </w:rPr>
            </w:pPr>
            <w:r>
              <w:rPr>
                <w:rFonts w:hint="eastAsia"/>
                <w:color w:val="auto"/>
                <w:highlight w:val="none"/>
              </w:rPr>
              <w:t>（4）应用场景4：粤省事APP调用个人数字空间H5授权用数</w:t>
            </w:r>
          </w:p>
          <w:p>
            <w:pPr>
              <w:ind w:firstLine="420" w:firstLineChars="200"/>
              <w:rPr>
                <w:color w:val="auto"/>
                <w:highlight w:val="none"/>
              </w:rPr>
            </w:pPr>
            <w:r>
              <w:rPr>
                <w:rFonts w:hint="eastAsia"/>
                <w:color w:val="auto"/>
                <w:highlight w:val="none"/>
              </w:rPr>
              <w:t>该场景使用范围为已入驻在粤省事APP/小程序中的事项。当用户在粤省事APP中发起该事项办理时，可按钮触发调起数字空间H5授权页面，预先设置所需的证照和数据即展示在该页面，个人可以添加和移除相关证照和数据，确认无误后进行授权签名。经个人授权后，办理业务所需的个人相关证照和数据，由个人数字空间传输到用证系统，用于事项办理。</w:t>
            </w:r>
          </w:p>
          <w:p>
            <w:pPr>
              <w:ind w:firstLine="420" w:firstLineChars="200"/>
              <w:rPr>
                <w:color w:val="auto"/>
                <w:highlight w:val="none"/>
              </w:rPr>
            </w:pPr>
            <w:r>
              <w:rPr>
                <w:rFonts w:hint="eastAsia"/>
                <w:color w:val="auto"/>
                <w:highlight w:val="none"/>
              </w:rPr>
              <w:t>（5）应用场景5：用户亮数据码调用个人数字空间授权用数</w:t>
            </w:r>
          </w:p>
          <w:p>
            <w:pPr>
              <w:ind w:firstLine="420" w:firstLineChars="200"/>
              <w:rPr>
                <w:color w:val="auto"/>
                <w:highlight w:val="none"/>
              </w:rPr>
            </w:pPr>
            <w:r>
              <w:rPr>
                <w:rFonts w:hint="eastAsia"/>
                <w:color w:val="auto"/>
                <w:highlight w:val="none"/>
              </w:rPr>
              <w:t>该场景由持证主体登录数字空间并亮出小程序上的数据码，业务办理人员可通过输入6位数据码及持证主体的身份证号码，即可调起个人数字空间小程序内授权页进行授权用证用数流程，预先配置所需的证照和数据即展示在该页面，确认无误后进行授权签名。经个人授权后，办理业务所需的个人相关证照和数据，由个人数字空间传输到用证系统，用于事项办理。</w:t>
            </w:r>
          </w:p>
          <w:p>
            <w:pPr>
              <w:ind w:firstLine="420" w:firstLineChars="200"/>
              <w:rPr>
                <w:color w:val="auto"/>
                <w:highlight w:val="none"/>
              </w:rPr>
            </w:pPr>
            <w:r>
              <w:rPr>
                <w:rFonts w:hint="eastAsia"/>
                <w:color w:val="auto"/>
                <w:highlight w:val="none"/>
              </w:rPr>
              <w:t>本项目各政务用证系统涉及的应用场景不尽相同，具体要求如下：</w:t>
            </w:r>
          </w:p>
          <w:tbl>
            <w:tblPr>
              <w:tblStyle w:val="8"/>
              <w:tblW w:w="8055"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321"/>
              <w:gridCol w:w="1121"/>
              <w:gridCol w:w="1087"/>
              <w:gridCol w:w="1072"/>
              <w:gridCol w:w="1005"/>
              <w:gridCol w:w="958"/>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应用场景</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中山市商事登记全程电子化智能申报审批平台</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中山市一照通行服务平台</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中山市住房和城乡建设管理信息系统</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新一代住房公积金管理系统</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中山市公共资源交易平台</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公共服务网上自助申报系统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1" w:type="dxa"/>
                  <w:vAlign w:val="center"/>
                </w:tcPr>
                <w:p>
                  <w:pPr>
                    <w:pStyle w:val="10"/>
                    <w:spacing w:line="24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粤省事码调用个人数字空间授权</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1" w:type="dxa"/>
                  <w:vAlign w:val="center"/>
                </w:tcPr>
                <w:p>
                  <w:pPr>
                    <w:pStyle w:val="10"/>
                    <w:spacing w:line="24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用户扫描办事码调用个人数字空间授权</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1" w:type="dxa"/>
                  <w:vAlign w:val="center"/>
                </w:tcPr>
                <w:p>
                  <w:pPr>
                    <w:pStyle w:val="10"/>
                    <w:spacing w:line="24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移动端应用调用个人数字空间授权</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1" w:type="dxa"/>
                  <w:vAlign w:val="center"/>
                </w:tcPr>
                <w:p>
                  <w:pPr>
                    <w:pStyle w:val="10"/>
                    <w:spacing w:line="24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粤省事APP调用个人数字空间H5授权</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21" w:type="dxa"/>
                  <w:vAlign w:val="center"/>
                </w:tcPr>
                <w:p>
                  <w:pPr>
                    <w:pStyle w:val="10"/>
                    <w:spacing w:line="24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用户亮数据码调用个人数字空间授权</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pPr>
              <w:rPr>
                <w:b/>
                <w:bCs/>
                <w:color w:val="auto"/>
                <w:highlight w:val="none"/>
              </w:rPr>
            </w:pPr>
          </w:p>
          <w:p>
            <w:pPr>
              <w:rPr>
                <w:b/>
                <w:bCs/>
                <w:color w:val="auto"/>
                <w:highlight w:val="none"/>
              </w:rPr>
            </w:pPr>
            <w:r>
              <w:rPr>
                <w:rFonts w:hint="eastAsia"/>
                <w:b/>
                <w:bCs/>
                <w:color w:val="auto"/>
                <w:highlight w:val="none"/>
              </w:rPr>
              <w:t>3</w:t>
            </w:r>
            <w:r>
              <w:rPr>
                <w:b/>
                <w:bCs/>
                <w:color w:val="auto"/>
                <w:highlight w:val="none"/>
              </w:rPr>
              <w:t>.3</w:t>
            </w:r>
            <w:r>
              <w:rPr>
                <w:rFonts w:hint="eastAsia"/>
                <w:b/>
                <w:bCs/>
                <w:color w:val="auto"/>
                <w:highlight w:val="none"/>
              </w:rPr>
              <w:t>法人“数字空间”接入服务需求</w:t>
            </w:r>
          </w:p>
          <w:p>
            <w:pPr>
              <w:ind w:firstLine="420" w:firstLineChars="200"/>
              <w:rPr>
                <w:color w:val="auto"/>
                <w:highlight w:val="none"/>
              </w:rPr>
            </w:pPr>
            <w:r>
              <w:rPr>
                <w:rFonts w:hint="eastAsia"/>
                <w:color w:val="auto"/>
                <w:highlight w:val="none"/>
              </w:rPr>
              <w:t>法人数字空间主要有3个应用场景，分别是：</w:t>
            </w:r>
          </w:p>
          <w:p>
            <w:pPr>
              <w:ind w:firstLine="420" w:firstLineChars="200"/>
              <w:rPr>
                <w:color w:val="auto"/>
                <w:highlight w:val="none"/>
              </w:rPr>
            </w:pPr>
            <w:r>
              <w:rPr>
                <w:rFonts w:hint="eastAsia"/>
                <w:color w:val="auto"/>
                <w:highlight w:val="none"/>
              </w:rPr>
              <w:t>（1）应用场景1：通过出示粤商码调用法人数字空间授权用数</w:t>
            </w:r>
          </w:p>
          <w:p>
            <w:pPr>
              <w:ind w:firstLine="420" w:firstLineChars="200"/>
              <w:rPr>
                <w:color w:val="auto"/>
                <w:highlight w:val="none"/>
              </w:rPr>
            </w:pPr>
            <w:r>
              <w:rPr>
                <w:rFonts w:hint="eastAsia"/>
                <w:color w:val="auto"/>
                <w:highlight w:val="none"/>
              </w:rPr>
              <w:t>该场景通过粤商通APP作为前端、法人数字空间作为后端提供法人数据服务。企业到办事大厅办理业务事项时，登录粤商通APP，出示粤商码，办事大厅工作人员通过扫码枪扫企业粤商码，办事所需的证照和数据即展示在法人数字空间授权页，确认无误后进行扫脸授权。经法人/经办人授权后，办理业务所需的法人相关证照和数据，由法人数字空间传输到业务系统，用于事项办理。本项目要求提供应用场景描述、业务系统对接时序设计、相关接口详细描述等内容。</w:t>
            </w:r>
          </w:p>
          <w:p>
            <w:pPr>
              <w:ind w:firstLine="420" w:firstLineChars="200"/>
              <w:rPr>
                <w:color w:val="auto"/>
                <w:highlight w:val="none"/>
              </w:rPr>
            </w:pPr>
            <w:r>
              <w:rPr>
                <w:rFonts w:hint="eastAsia"/>
                <w:color w:val="auto"/>
                <w:highlight w:val="none"/>
              </w:rPr>
              <w:t>（2）应用场景2：通过扫描办事码调用法人数字空间授权用数</w:t>
            </w:r>
          </w:p>
          <w:p>
            <w:pPr>
              <w:ind w:firstLine="420" w:firstLineChars="200"/>
              <w:rPr>
                <w:color w:val="auto"/>
                <w:highlight w:val="none"/>
              </w:rPr>
            </w:pPr>
            <w:r>
              <w:rPr>
                <w:rFonts w:hint="eastAsia"/>
                <w:color w:val="auto"/>
                <w:highlight w:val="none"/>
              </w:rPr>
              <w:t>该场景需要业务系统调用粤商通空间生成办事码能力（动态码），业务系统或者业务人员可通过PC申请页面、手持移动终端、大厅展示终端向办事群众展示办事码。办事企业通过粤商通APP扫一扫，即可拉起粤商通内法人数字空间授权页完成授权用证用数流程。预先配置所需的证照和数据即展示在该页面，确认无误后进行授权签名。经企业授权后，办理业务所需的企业相关证照和数据，由法人数字空间传输到业务系统，用于事项办理。</w:t>
            </w:r>
          </w:p>
          <w:p>
            <w:pPr>
              <w:ind w:firstLine="420" w:firstLineChars="200"/>
              <w:rPr>
                <w:color w:val="auto"/>
                <w:highlight w:val="none"/>
              </w:rPr>
            </w:pPr>
            <w:r>
              <w:rPr>
                <w:rFonts w:hint="eastAsia"/>
                <w:color w:val="auto"/>
                <w:highlight w:val="none"/>
              </w:rPr>
              <w:t>（3）应用场景3：粤商通APP调用法人数字空间H5授权用数</w:t>
            </w:r>
          </w:p>
          <w:p>
            <w:pPr>
              <w:ind w:firstLine="420" w:firstLineChars="200"/>
              <w:rPr>
                <w:color w:val="auto"/>
                <w:highlight w:val="none"/>
              </w:rPr>
            </w:pPr>
            <w:r>
              <w:rPr>
                <w:rFonts w:hint="eastAsia"/>
                <w:color w:val="auto"/>
                <w:highlight w:val="none"/>
              </w:rPr>
              <w:t>该场景使用范围为已入驻在粤商通APP的事项。当用户在粤商通APP中发起该事项办理时，可按钮触发调起数字空间H5授权页面，预先设置所需的证照和数据即展示在该页面，企业经办人/法人可以添加和移除相关证照和数据，确认无误后进行授权签名。经企业经办人/法人授权后，办理业务所需的企业相关证照和数据，由法人数字空间传输到业务系统，用于事项办理。</w:t>
            </w:r>
          </w:p>
          <w:p>
            <w:pPr>
              <w:ind w:firstLine="420" w:firstLineChars="200"/>
              <w:rPr>
                <w:color w:val="auto"/>
                <w:highlight w:val="none"/>
              </w:rPr>
            </w:pPr>
            <w:r>
              <w:rPr>
                <w:rFonts w:hint="eastAsia"/>
                <w:color w:val="auto"/>
                <w:highlight w:val="none"/>
              </w:rPr>
              <w:t>本项目各政务用证系统涉及的应用场景不尽相同，具体要求如下：</w:t>
            </w:r>
          </w:p>
          <w:tbl>
            <w:tblPr>
              <w:tblStyle w:val="8"/>
              <w:tblW w:w="8055"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321"/>
              <w:gridCol w:w="1121"/>
              <w:gridCol w:w="1087"/>
              <w:gridCol w:w="1072"/>
              <w:gridCol w:w="1005"/>
              <w:gridCol w:w="958"/>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应用场景</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中山市商事登记全程电子化智能申报审批平台</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中山市一照通行服务平台</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中山市住房和城乡建设管理信息系统</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新一代住房公积金管理系统</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中山市公共资源交易平台</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公共服务网上自助申报系统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1" w:type="dxa"/>
                  <w:vAlign w:val="center"/>
                </w:tcPr>
                <w:p>
                  <w:pPr>
                    <w:pStyle w:val="10"/>
                    <w:spacing w:line="240" w:lineRule="auto"/>
                    <w:ind w:firstLine="0" w:firstLineChars="0"/>
                    <w:rPr>
                      <w:rFonts w:ascii="宋体" w:hAnsi="宋体" w:eastAsia="宋体" w:cs="宋体"/>
                      <w:color w:val="auto"/>
                      <w:sz w:val="21"/>
                      <w:szCs w:val="21"/>
                      <w:highlight w:val="none"/>
                    </w:rPr>
                  </w:pPr>
                  <w:r>
                    <w:rPr>
                      <w:rFonts w:hint="eastAsia"/>
                      <w:color w:val="auto"/>
                      <w:sz w:val="21"/>
                      <w:szCs w:val="21"/>
                      <w:highlight w:val="none"/>
                    </w:rPr>
                    <w:t>出示粤商码调用法人数字空间授权</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1" w:type="dxa"/>
                  <w:vAlign w:val="center"/>
                </w:tcPr>
                <w:p>
                  <w:pPr>
                    <w:pStyle w:val="10"/>
                    <w:spacing w:line="240" w:lineRule="auto"/>
                    <w:ind w:firstLine="0" w:firstLineChars="0"/>
                    <w:rPr>
                      <w:rFonts w:ascii="宋体" w:hAnsi="宋体" w:eastAsia="宋体" w:cs="宋体"/>
                      <w:color w:val="auto"/>
                      <w:sz w:val="21"/>
                      <w:szCs w:val="21"/>
                      <w:highlight w:val="none"/>
                    </w:rPr>
                  </w:pPr>
                  <w:r>
                    <w:rPr>
                      <w:rFonts w:ascii="Times New Roman" w:hAnsi="Times New Roman" w:eastAsia="宋体"/>
                      <w:color w:val="auto"/>
                      <w:sz w:val="21"/>
                      <w:szCs w:val="21"/>
                      <w:highlight w:val="none"/>
                    </w:rPr>
                    <w:t>扫描办事码调用法人数字空间授权</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1" w:type="dxa"/>
                  <w:vAlign w:val="center"/>
                </w:tcPr>
                <w:p>
                  <w:pPr>
                    <w:pStyle w:val="10"/>
                    <w:spacing w:line="240" w:lineRule="auto"/>
                    <w:ind w:firstLine="0" w:firstLineChars="0"/>
                    <w:rPr>
                      <w:rFonts w:ascii="宋体" w:hAnsi="宋体" w:eastAsia="宋体" w:cs="宋体"/>
                      <w:color w:val="auto"/>
                      <w:sz w:val="21"/>
                      <w:szCs w:val="21"/>
                      <w:highlight w:val="none"/>
                    </w:rPr>
                  </w:pPr>
                  <w:r>
                    <w:rPr>
                      <w:color w:val="auto"/>
                      <w:sz w:val="21"/>
                      <w:szCs w:val="21"/>
                      <w:highlight w:val="none"/>
                    </w:rPr>
                    <w:t>粤商通APP调用法人数字空间H5授权</w:t>
                  </w:r>
                </w:p>
              </w:tc>
              <w:tc>
                <w:tcPr>
                  <w:tcW w:w="1121"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7"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2"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1005"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tc>
              <w:tc>
                <w:tcPr>
                  <w:tcW w:w="958"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26" w:type="dxa"/>
                  <w:vAlign w:val="center"/>
                </w:tcPr>
                <w:p>
                  <w:pPr>
                    <w:pStyle w:val="1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pPr>
              <w:rPr>
                <w:b/>
                <w:bCs/>
                <w:color w:val="auto"/>
                <w:highlight w:val="none"/>
              </w:rPr>
            </w:pPr>
          </w:p>
          <w:p>
            <w:pPr>
              <w:rPr>
                <w:b/>
                <w:bCs/>
                <w:color w:val="auto"/>
                <w:highlight w:val="none"/>
              </w:rPr>
            </w:pPr>
            <w:r>
              <w:rPr>
                <w:b/>
                <w:bCs/>
                <w:color w:val="auto"/>
                <w:highlight w:val="none"/>
              </w:rPr>
              <w:t>3.4</w:t>
            </w:r>
            <w:r>
              <w:rPr>
                <w:rFonts w:hint="eastAsia"/>
                <w:b/>
                <w:bCs/>
                <w:color w:val="auto"/>
                <w:highlight w:val="none"/>
              </w:rPr>
              <w:t>省“数字空间”系统对接实现方式设计</w:t>
            </w:r>
          </w:p>
          <w:p>
            <w:pPr>
              <w:ind w:firstLine="420" w:firstLineChars="200"/>
              <w:rPr>
                <w:color w:val="auto"/>
                <w:highlight w:val="none"/>
              </w:rPr>
            </w:pPr>
            <w:r>
              <w:rPr>
                <w:rFonts w:hint="eastAsia"/>
                <w:color w:val="auto"/>
                <w:highlight w:val="none"/>
              </w:rPr>
              <w:t>省数字空间系统后端服务部署于省政务云平台，运行在政务外网环境，前端部署、运行在互联网环境。本项目申请对接的用证系统，要求通过政务外网环境进行对接。</w:t>
            </w:r>
          </w:p>
          <w:p>
            <w:pPr>
              <w:rPr>
                <w:b/>
                <w:bCs/>
                <w:color w:val="auto"/>
                <w:highlight w:val="none"/>
              </w:rPr>
            </w:pPr>
            <w:r>
              <w:rPr>
                <w:b/>
                <w:bCs/>
                <w:color w:val="auto"/>
                <w:highlight w:val="none"/>
              </w:rPr>
              <w:t>3.4.1</w:t>
            </w:r>
            <w:r>
              <w:rPr>
                <w:rFonts w:hint="eastAsia"/>
                <w:b/>
                <w:bCs/>
                <w:color w:val="auto"/>
                <w:highlight w:val="none"/>
              </w:rPr>
              <w:t>.接口双方责任</w:t>
            </w:r>
          </w:p>
          <w:p>
            <w:pPr>
              <w:ind w:firstLine="420" w:firstLineChars="200"/>
              <w:rPr>
                <w:color w:val="auto"/>
                <w:highlight w:val="none"/>
              </w:rPr>
            </w:pPr>
            <w:r>
              <w:rPr>
                <w:rFonts w:hint="eastAsia"/>
                <w:color w:val="auto"/>
                <w:highlight w:val="none"/>
              </w:rPr>
              <w:t>在本项目系统对接中，数据发送方和数据接收方是两个不同的角色，各自承担着特定的责任。数据发送方负责准备和发送数据，确保数据的安全和质量，而数据接收方负责接收、处理和管理数据，确保数据能够被有效利用和应用。双方需要密切合作，确保数据的顺利传输和有效交互，以实现系统对接的目标。本项目要求明确数据发送方、数据接收方的具体责任。</w:t>
            </w:r>
          </w:p>
          <w:p>
            <w:pPr>
              <w:rPr>
                <w:b/>
                <w:bCs/>
                <w:color w:val="auto"/>
                <w:highlight w:val="none"/>
              </w:rPr>
            </w:pPr>
            <w:r>
              <w:rPr>
                <w:b/>
                <w:bCs/>
                <w:color w:val="auto"/>
                <w:highlight w:val="none"/>
              </w:rPr>
              <w:t>3.4.2</w:t>
            </w:r>
            <w:r>
              <w:rPr>
                <w:rFonts w:hint="eastAsia"/>
                <w:b/>
                <w:bCs/>
                <w:color w:val="auto"/>
                <w:highlight w:val="none"/>
              </w:rPr>
              <w:t>接口技术要求</w:t>
            </w:r>
          </w:p>
          <w:p>
            <w:pPr>
              <w:rPr>
                <w:b/>
                <w:bCs/>
                <w:color w:val="auto"/>
                <w:highlight w:val="none"/>
              </w:rPr>
            </w:pPr>
            <w:r>
              <w:rPr>
                <w:b/>
                <w:bCs/>
                <w:color w:val="auto"/>
                <w:highlight w:val="none"/>
              </w:rPr>
              <w:t>3.4.2.1</w:t>
            </w:r>
            <w:r>
              <w:rPr>
                <w:rFonts w:hint="eastAsia"/>
                <w:b/>
                <w:bCs/>
                <w:color w:val="auto"/>
                <w:highlight w:val="none"/>
              </w:rPr>
              <w:t>接口调用安全认证</w:t>
            </w:r>
          </w:p>
          <w:p>
            <w:pPr>
              <w:ind w:firstLine="420" w:firstLineChars="200"/>
              <w:rPr>
                <w:color w:val="auto"/>
                <w:highlight w:val="none"/>
              </w:rPr>
            </w:pPr>
            <w:r>
              <w:rPr>
                <w:rFonts w:hint="eastAsia"/>
                <w:color w:val="auto"/>
                <w:highlight w:val="none"/>
              </w:rPr>
              <w:t>从接口安全调用方面考虑，本项目须考虑调用的认证安全问题。在政务用证系统调用省数字空间服务端的时候，建议经过调用身份认证。本项目要求采用数字签名作为参数验证。</w:t>
            </w:r>
          </w:p>
          <w:p>
            <w:pPr>
              <w:rPr>
                <w:b/>
                <w:bCs/>
                <w:color w:val="auto"/>
                <w:highlight w:val="none"/>
              </w:rPr>
            </w:pPr>
            <w:r>
              <w:rPr>
                <w:b/>
                <w:bCs/>
                <w:color w:val="auto"/>
                <w:highlight w:val="none"/>
              </w:rPr>
              <w:t>3.4</w:t>
            </w:r>
            <w:r>
              <w:rPr>
                <w:rFonts w:hint="eastAsia"/>
                <w:b/>
                <w:bCs/>
                <w:color w:val="auto"/>
                <w:highlight w:val="none"/>
              </w:rPr>
              <w:t>.</w:t>
            </w:r>
            <w:r>
              <w:rPr>
                <w:b/>
                <w:bCs/>
                <w:color w:val="auto"/>
                <w:highlight w:val="none"/>
              </w:rPr>
              <w:t>2</w:t>
            </w:r>
            <w:r>
              <w:rPr>
                <w:rFonts w:hint="eastAsia"/>
                <w:b/>
                <w:bCs/>
                <w:color w:val="auto"/>
                <w:highlight w:val="none"/>
              </w:rPr>
              <w:t>.2接口调用容错处理</w:t>
            </w:r>
          </w:p>
          <w:p>
            <w:pPr>
              <w:ind w:firstLine="420" w:firstLineChars="200"/>
              <w:rPr>
                <w:color w:val="auto"/>
                <w:highlight w:val="none"/>
              </w:rPr>
            </w:pPr>
            <w:r>
              <w:rPr>
                <w:rFonts w:hint="eastAsia"/>
                <w:color w:val="auto"/>
                <w:highlight w:val="none"/>
              </w:rPr>
              <w:t>政务用证系统向省数字空间服务端发送数据，服务端解析数据，反馈信息给政务用证系统，这中间的环节只要某一个环节出现问题，都会造成接口调用失败。按照失败产生的环节分类，要求从网络连接失败、反馈错误信息以及网络连接正常但无信息反馈等三个方面处理接口的失败。</w:t>
            </w:r>
          </w:p>
          <w:p>
            <w:pPr>
              <w:rPr>
                <w:b/>
                <w:bCs/>
                <w:color w:val="auto"/>
                <w:highlight w:val="none"/>
              </w:rPr>
            </w:pPr>
            <w:r>
              <w:rPr>
                <w:b/>
                <w:bCs/>
                <w:color w:val="auto"/>
                <w:highlight w:val="none"/>
              </w:rPr>
              <w:t>3.</w:t>
            </w:r>
            <w:r>
              <w:rPr>
                <w:rFonts w:hint="eastAsia"/>
                <w:b/>
                <w:bCs/>
                <w:color w:val="auto"/>
                <w:highlight w:val="none"/>
              </w:rPr>
              <w:t>4.</w:t>
            </w:r>
            <w:r>
              <w:rPr>
                <w:b/>
                <w:bCs/>
                <w:color w:val="auto"/>
                <w:highlight w:val="none"/>
              </w:rPr>
              <w:t>2</w:t>
            </w:r>
            <w:r>
              <w:rPr>
                <w:rFonts w:hint="eastAsia"/>
                <w:b/>
                <w:bCs/>
                <w:color w:val="auto"/>
                <w:highlight w:val="none"/>
              </w:rPr>
              <w:t>.3业务数据检查及处理</w:t>
            </w:r>
          </w:p>
          <w:p>
            <w:pPr>
              <w:ind w:firstLine="420" w:firstLineChars="200"/>
              <w:rPr>
                <w:color w:val="auto"/>
                <w:highlight w:val="none"/>
              </w:rPr>
            </w:pPr>
            <w:r>
              <w:rPr>
                <w:rFonts w:hint="eastAsia"/>
                <w:color w:val="auto"/>
                <w:highlight w:val="none"/>
              </w:rPr>
              <w:t>省数字空间接口应提供业务数据检查功能，即对接收的用证数据进行合法性检查，对非法数据和错误数据则拒绝接收，以防止外来数据非法入侵，减轻省数字空间系统处理负荷。对于省数字空间接口，本项目要求从数据格式的合法性、数据来源的合法性、业务类型的合法性等三个方面检查业务数据，并针对业务数据检查中解析出非法数据开展包括事件报警、原因分析、统计分析等处理工作。</w:t>
            </w:r>
          </w:p>
          <w:p>
            <w:pPr>
              <w:rPr>
                <w:b/>
                <w:bCs/>
                <w:color w:val="auto"/>
                <w:highlight w:val="none"/>
              </w:rPr>
            </w:pPr>
            <w:r>
              <w:rPr>
                <w:b/>
                <w:bCs/>
                <w:color w:val="auto"/>
                <w:highlight w:val="none"/>
              </w:rPr>
              <w:t>3.</w:t>
            </w:r>
            <w:r>
              <w:rPr>
                <w:rFonts w:hint="eastAsia"/>
                <w:b/>
                <w:bCs/>
                <w:color w:val="auto"/>
                <w:highlight w:val="none"/>
              </w:rPr>
              <w:t>4.</w:t>
            </w:r>
            <w:r>
              <w:rPr>
                <w:b/>
                <w:bCs/>
                <w:color w:val="auto"/>
                <w:highlight w:val="none"/>
              </w:rPr>
              <w:t>2</w:t>
            </w:r>
            <w:r>
              <w:rPr>
                <w:rFonts w:hint="eastAsia"/>
                <w:b/>
                <w:bCs/>
                <w:color w:val="auto"/>
                <w:highlight w:val="none"/>
              </w:rPr>
              <w:t>.</w:t>
            </w:r>
            <w:r>
              <w:rPr>
                <w:b/>
                <w:bCs/>
                <w:color w:val="auto"/>
                <w:highlight w:val="none"/>
              </w:rPr>
              <w:t>4</w:t>
            </w:r>
            <w:r>
              <w:rPr>
                <w:rFonts w:hint="eastAsia"/>
                <w:b/>
                <w:bCs/>
                <w:color w:val="auto"/>
                <w:highlight w:val="none"/>
              </w:rPr>
              <w:t>接口性能保障</w:t>
            </w:r>
          </w:p>
          <w:p>
            <w:pPr>
              <w:ind w:firstLine="420" w:firstLineChars="200"/>
              <w:rPr>
                <w:color w:val="auto"/>
                <w:highlight w:val="none"/>
              </w:rPr>
            </w:pPr>
            <w:r>
              <w:rPr>
                <w:rFonts w:hint="eastAsia"/>
                <w:color w:val="auto"/>
                <w:highlight w:val="none"/>
              </w:rPr>
              <w:t>在省数字空间接口调用的时候就应考虑性能的问题。在项目的开发过程要反复进行测试，可以从机器的吞吐量和响应时间两个基本的指标来衡量接口的性能。本项目要求从代码优化、并发处理、缓存机制、延迟加载、异步处理、监控和调优、定期优化等方面保障接口性能。</w:t>
            </w:r>
          </w:p>
          <w:p>
            <w:pPr>
              <w:rPr>
                <w:b/>
                <w:bCs/>
                <w:color w:val="auto"/>
                <w:highlight w:val="none"/>
              </w:rPr>
            </w:pPr>
            <w:r>
              <w:rPr>
                <w:b/>
                <w:bCs/>
                <w:color w:val="auto"/>
                <w:highlight w:val="none"/>
              </w:rPr>
              <w:t>3.</w:t>
            </w:r>
            <w:r>
              <w:rPr>
                <w:rFonts w:hint="eastAsia"/>
                <w:b/>
                <w:bCs/>
                <w:color w:val="auto"/>
                <w:highlight w:val="none"/>
              </w:rPr>
              <w:t>4.3.接口异常处理</w:t>
            </w:r>
          </w:p>
          <w:p>
            <w:pPr>
              <w:ind w:firstLine="420" w:firstLineChars="200"/>
              <w:rPr>
                <w:color w:val="auto"/>
                <w:highlight w:val="none"/>
              </w:rPr>
            </w:pPr>
            <w:r>
              <w:rPr>
                <w:rFonts w:hint="eastAsia"/>
                <w:color w:val="auto"/>
                <w:highlight w:val="none"/>
              </w:rPr>
              <w:t>对省数字空间接口调用过程中发生的异常情况，如流程异常、数据异常、会话传输异常、重发异常等，本项目要求围绕异常捕获和记录、错误码和错误消息、回滚事务、异常通知和报警、数据补偿和重发、异常处理策略、异常日志和监控、用户友好的错误提示进行相应的异常处理。</w:t>
            </w:r>
          </w:p>
          <w:p>
            <w:pPr>
              <w:rPr>
                <w:b/>
                <w:bCs/>
                <w:color w:val="auto"/>
                <w:highlight w:val="none"/>
              </w:rPr>
            </w:pPr>
            <w:r>
              <w:rPr>
                <w:b/>
                <w:bCs/>
                <w:color w:val="auto"/>
                <w:highlight w:val="none"/>
              </w:rPr>
              <w:t>3.</w:t>
            </w:r>
            <w:r>
              <w:rPr>
                <w:rFonts w:hint="eastAsia"/>
                <w:b/>
                <w:bCs/>
                <w:color w:val="auto"/>
                <w:highlight w:val="none"/>
              </w:rPr>
              <w:t>4.4.接口安全设计</w:t>
            </w:r>
          </w:p>
          <w:p>
            <w:pPr>
              <w:ind w:firstLine="420" w:firstLineChars="200"/>
              <w:rPr>
                <w:color w:val="auto"/>
                <w:highlight w:val="none"/>
              </w:rPr>
            </w:pPr>
            <w:r>
              <w:rPr>
                <w:rFonts w:hint="eastAsia"/>
                <w:color w:val="auto"/>
                <w:highlight w:val="none"/>
              </w:rPr>
              <w:t>接口安全设计是确保本项目系统对接的机密性、完整性和可用性的重要方面，保证电子证照数据的安全。本项目要求围绕认证和授权、数据加密、输入验证和过滤、防止重放攻击、异常处理和错误处理、安全审计和日志记录、安全测试和漏洞扫描、安全访问控制、防御性编程、安全合规和法律要求、持续监测和改进等方面进行接口安全设计。</w:t>
            </w:r>
          </w:p>
          <w:p>
            <w:pPr>
              <w:rPr>
                <w:b/>
                <w:bCs/>
                <w:color w:val="auto"/>
                <w:highlight w:val="none"/>
              </w:rPr>
            </w:pPr>
            <w:r>
              <w:rPr>
                <w:b/>
                <w:bCs/>
                <w:color w:val="auto"/>
                <w:highlight w:val="none"/>
              </w:rPr>
              <w:t>3.</w:t>
            </w:r>
            <w:r>
              <w:rPr>
                <w:rFonts w:hint="eastAsia"/>
                <w:b/>
                <w:bCs/>
                <w:color w:val="auto"/>
                <w:highlight w:val="none"/>
              </w:rPr>
              <w:t>4.5.数字空间接入安全自查</w:t>
            </w:r>
          </w:p>
          <w:p>
            <w:pPr>
              <w:ind w:firstLine="420" w:firstLineChars="200"/>
              <w:rPr>
                <w:color w:val="auto"/>
                <w:highlight w:val="none"/>
              </w:rPr>
            </w:pPr>
            <w:r>
              <w:rPr>
                <w:rFonts w:hint="eastAsia"/>
                <w:color w:val="auto"/>
                <w:highlight w:val="none"/>
              </w:rPr>
              <w:t>服务方接入省数字空间前，应进行安全自查并提交自查结果，安全自查检查项如下表所示：</w:t>
            </w:r>
          </w:p>
          <w:tbl>
            <w:tblPr>
              <w:tblStyle w:val="7"/>
              <w:tblW w:w="7778" w:type="dxa"/>
              <w:tblInd w:w="93" w:type="dxa"/>
              <w:tblLayout w:type="fixed"/>
              <w:tblCellMar>
                <w:top w:w="0" w:type="dxa"/>
                <w:left w:w="108" w:type="dxa"/>
                <w:bottom w:w="0" w:type="dxa"/>
                <w:right w:w="108" w:type="dxa"/>
              </w:tblCellMar>
            </w:tblPr>
            <w:tblGrid>
              <w:gridCol w:w="519"/>
              <w:gridCol w:w="529"/>
              <w:gridCol w:w="5924"/>
              <w:gridCol w:w="806"/>
            </w:tblGrid>
            <w:tr>
              <w:tblPrEx>
                <w:tblCellMar>
                  <w:top w:w="0" w:type="dxa"/>
                  <w:left w:w="108" w:type="dxa"/>
                  <w:bottom w:w="0" w:type="dxa"/>
                  <w:right w:w="108" w:type="dxa"/>
                </w:tblCellMar>
              </w:tblPrEx>
              <w:trPr>
                <w:trHeight w:val="835" w:hRule="atLeast"/>
              </w:trPr>
              <w:tc>
                <w:tcPr>
                  <w:tcW w:w="519" w:type="dxa"/>
                  <w:tcBorders>
                    <w:top w:val="single" w:color="000000" w:sz="4" w:space="0"/>
                    <w:left w:val="single" w:color="000000" w:sz="4" w:space="0"/>
                    <w:bottom w:val="single" w:color="000000" w:sz="4" w:space="0"/>
                    <w:right w:val="single" w:color="000000" w:sz="4" w:space="0"/>
                  </w:tcBorders>
                  <w:shd w:val="clear" w:color="auto" w:fill="DCE6F1"/>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序号</w:t>
                  </w:r>
                </w:p>
              </w:tc>
              <w:tc>
                <w:tcPr>
                  <w:tcW w:w="529" w:type="dxa"/>
                  <w:tcBorders>
                    <w:top w:val="single" w:color="000000" w:sz="4" w:space="0"/>
                    <w:left w:val="single" w:color="000000" w:sz="4" w:space="0"/>
                    <w:bottom w:val="single" w:color="000000" w:sz="4" w:space="0"/>
                    <w:right w:val="single" w:color="000000" w:sz="4" w:space="0"/>
                  </w:tcBorders>
                  <w:shd w:val="clear" w:color="auto" w:fill="DCE6F1"/>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检查类</w:t>
                  </w:r>
                </w:p>
              </w:tc>
              <w:tc>
                <w:tcPr>
                  <w:tcW w:w="5924" w:type="dxa"/>
                  <w:tcBorders>
                    <w:top w:val="single" w:color="000000" w:sz="4" w:space="0"/>
                    <w:left w:val="single" w:color="000000" w:sz="4" w:space="0"/>
                    <w:bottom w:val="single" w:color="000000" w:sz="4" w:space="0"/>
                    <w:right w:val="single" w:color="000000" w:sz="4" w:space="0"/>
                  </w:tcBorders>
                  <w:shd w:val="clear" w:color="auto" w:fill="DCE6F1"/>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检查项</w:t>
                  </w:r>
                </w:p>
              </w:tc>
              <w:tc>
                <w:tcPr>
                  <w:tcW w:w="806" w:type="dxa"/>
                  <w:tcBorders>
                    <w:top w:val="single" w:color="000000" w:sz="4" w:space="0"/>
                    <w:left w:val="single" w:color="000000" w:sz="4" w:space="0"/>
                    <w:bottom w:val="single" w:color="000000" w:sz="4" w:space="0"/>
                    <w:right w:val="single" w:color="000000" w:sz="4" w:space="0"/>
                  </w:tcBorders>
                  <w:shd w:val="clear" w:color="auto" w:fill="DCE6F1"/>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风险等级</w:t>
                  </w:r>
                </w:p>
              </w:tc>
            </w:tr>
            <w:tr>
              <w:tblPrEx>
                <w:tblCellMar>
                  <w:top w:w="0" w:type="dxa"/>
                  <w:left w:w="108" w:type="dxa"/>
                  <w:bottom w:w="0" w:type="dxa"/>
                  <w:right w:w="108" w:type="dxa"/>
                </w:tblCellMar>
              </w:tblPrEx>
              <w:trPr>
                <w:trHeight w:val="83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基础安全</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管理后台、数据库、应用服务器等开启防火墙策略，做好白名单访问控制。仅允许运维IP、网管区访问，禁止没有业务往来的服务器访问。</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严禁将系统代码、配置文件等信息上传至开源社区、论坛等互联网平台。严禁私建共享文件服务器和网盘等。</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账号管理</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建立服务器、数据库、应用系统账号异常登录的巡检机制并定期巡检。</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4</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建立账号台账（包括但不限于应用系统、服务器、数据库），明确账号及密码持有人范围。</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低</w:t>
                  </w:r>
                </w:p>
              </w:tc>
            </w:tr>
            <w:tr>
              <w:tblPrEx>
                <w:tblCellMar>
                  <w:top w:w="0" w:type="dxa"/>
                  <w:left w:w="108" w:type="dxa"/>
                  <w:bottom w:w="0" w:type="dxa"/>
                  <w:right w:w="108" w:type="dxa"/>
                </w:tblCellMar>
              </w:tblPrEx>
              <w:trPr>
                <w:trHeight w:val="83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5</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定期开展系统账号的清理排查、弱密码排查（包括应用系统、服务器、数据库等），重点关注离职人员账号回收、账号权限变更、沉默账号安全等问题，确保离职人员账号及时删除。</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6</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涉及账号、密码等相关敏感信息应加密存储，禁止在数据库、配置文件中明文存储账号、密码。</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7</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明确系统账号操作审批要求和操作流程，相关账号申请需经过审批并保留了审批记录，形成并定期更新平台系统权限分配表。</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8</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严格控制应用系统超级管理员权限账号数量，服务器操作系统的root账号、数据库DBA账号应明确管理责任人。</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2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9</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账号使用复杂强口令，及时删除测试账号和不常用账号。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10</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应按照最小化原则对对运维人员进行授权，回收不必要的账号权限，严格控制系统管理员的数量。</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11</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应对长期（如超过1个月）未使用的账号和及开通后未及时（如72小时）修改初始密码的账号做清除。</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83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12</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登录用证系统审批后台应采用强认证措施，如粤政易扫码或账号口令、手机验证码等双因子认证，限制登录账号口令尝试次数。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13</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服务器管理</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服务器应安装主机安全防护软件，及时安装补丁，确保服务器无高危漏洞，及时修复操作系统开发商定期发布的高危漏洞。</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14</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禁止将运维台账明文存储在文件共享服务器，运维台账应加密存储。</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15</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数据库客户端及系统管理后台禁止保存密码，运维人员每次登录数据库及管理后台需手动输入密码。</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16</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应将暴露在互联网的高危服务端口关闭，如SSH、FTP、SQL、RDP端口服务，并设置仅允许信任的IP白名单访问。</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17</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数据安全管理</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不可直接使用生产数据进行开发和测试，测试和开发数据所使用的数据需进行脱敏处理。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2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18</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非业务上的必要，个人敏感信息展示时应做脱敏处理。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19</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用证系统需接入省统一身份认证平台或采用符合国家标准规范要求的身份认证体系。</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83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20</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用户通过身份认证登录系统后，查看、下载、授权使用电子证照等敏感数据时，需进行二次人脸识别认证。（执法监管类用证系统不需要检查此项。）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1936"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21</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证系统需确保身份认证信息与调用电子证照入参的身份信息校验一致，且仅支持用户身份认证后查看、使用、下载、授权第三方使用本人的电子证照。如有委托办事场景，须经委托人签署授权协议，用证系统依据授权协议、被委托人的身份证件电子证照和用证申请调用委托人的电子证照。被委托人仅能查看、使用脱敏后的委托人电子证照，无下载、再授权权限。（执法监管类用证系统不需要检查此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111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电子证照应用须经持证主体授权，使用方方可查询、调用、审核、下载其电子证照用于业务办理。且授权协议和用证记录须通过区块链等不可篡改的技术进行长期保存。（执法监管类用证系统不需要检查此项）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111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23</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不适用持证主体授权的执法、监管类用证场景，此类用证系统仅限政务外网、仅供公职人员使用，并应严格依法执法、监管事项合理合法用证，不得随意查看他人证照。用证记录须通过区块链等不可篡改的技术在用证系统长期保存。</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83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24</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用证系统应用前端页面不能对电子证和照数据进行缓存。地市电子证照系统调用省电子证照库的电子证照和数据后，不得在本地留存、备份。</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25</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应制定日志备份机制，由日志管理员周期性执行备份计划。在未确保日志安全备份前，任何人不得以任何理由删除日志。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26</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Elasticsearch、Redis、Nacos、Mongodb等主流数据库与中间件应启用认证策略，防范未授权访问漏洞。</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2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27</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重要数据（文件）应定期备份。</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28</w:t>
                  </w:r>
                </w:p>
              </w:tc>
              <w:tc>
                <w:tcPr>
                  <w:tcW w:w="529"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应用系统排查</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用证系统需完成网络安全等级保护测评。用证系统需满足三级或以上等保要求。</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29</w:t>
                  </w: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应有针对网站及系统自身存在的可疑文件进行检查，确保系统自身无僵木蠕毒及webshell文件。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2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30</w:t>
                  </w: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系统备份文件路径和安装文件目录应禁止从互联网访问。</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31</w:t>
                  </w: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系统上传功能应对上传目录做权限限制，禁止在上传目录下文件有执行权限。</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111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32</w:t>
                  </w: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安全测试和安全检查发现的高危漏洞、收到风险提示或通报文件所涉及的问题应当完成整改，包括但不限于上级单位通报和风险提示、第三方的安全测评、供应商的安全自检、操作系统定期发布的通知等漏洞。</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2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33</w:t>
                  </w: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禁止从互联网直接访问开发环境、测试环境、系统的管理后台。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2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34</w:t>
                  </w: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禁止开发人员保留直接进入生产系统的后门。</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35</w:t>
                  </w: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按照业务需求、安全策略及最小授权原则等，合理配置系统访问权限，避免非授权用户或业务访问数据。</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111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36</w:t>
                  </w: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业务系统需做好应用访问日志、业务调用日志、操作日志的记录，并至少保存6个月以上，需至少记录访问源IP、用户登录态识别符、时间、调用的接口地址、状态码等信息，并定期进行分析，排查是否有单用户的高频请求异常行为等。</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37</w:t>
                  </w: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及时下线生产环境、测试环境等已不再使用的应用系统、服务、接口等，减少互联网风险暴露面。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38</w:t>
                  </w:r>
                </w:p>
              </w:tc>
              <w:tc>
                <w:tcPr>
                  <w:tcW w:w="529"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接口应当启用身份认证和鉴权，访问用户权限应当合理分配，防范越权漏洞的发生。</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2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39</w:t>
                  </w:r>
                </w:p>
              </w:tc>
              <w:tc>
                <w:tcPr>
                  <w:tcW w:w="5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接口与客户端的通讯协议应采用加密传输。</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111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40</w:t>
                  </w:r>
                </w:p>
              </w:tc>
              <w:tc>
                <w:tcPr>
                  <w:tcW w:w="5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应做好数据接口台账管理，对访问调用数据的接口做好登记和排查，排查和清理不在台账登记的后门接口、不再使用的僵尸接口等以及被访问权限的合理性，接口登记应具体到接口所属业务用途、上线时间、责任单位、访问调用权限等。</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41</w:t>
                  </w:r>
                </w:p>
              </w:tc>
              <w:tc>
                <w:tcPr>
                  <w:tcW w:w="5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严禁将用户信息、证照授权码、证照ID、证照鉴权服务接口url地址等敏感信息暴露在用证系统前端web页面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111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42</w:t>
                  </w:r>
                </w:p>
              </w:tc>
              <w:tc>
                <w:tcPr>
                  <w:tcW w:w="5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证系统（含地市电子证照系统、使用二次封装证照服务的二级用证系统）调用电子证照时，入参需携带用证单位、用证系统名称、系统用证账号paasID、访问IP、事项名称、事项编码、用证人实名认证信息、持证人身份信息等信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w:t>
                  </w:r>
                </w:p>
              </w:tc>
            </w:tr>
            <w:tr>
              <w:tblPrEx>
                <w:tblCellMar>
                  <w:top w:w="0" w:type="dxa"/>
                  <w:left w:w="108" w:type="dxa"/>
                  <w:bottom w:w="0" w:type="dxa"/>
                  <w:right w:w="108" w:type="dxa"/>
                </w:tblCellMar>
              </w:tblPrEx>
              <w:trPr>
                <w:trHeight w:val="1936"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43</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监督监管</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证系统要结合实际业务情况，对电子证照接口调用进行监控，对异常调用行为及时阻断。针对工作日和节假日、工作时间和非工作时间用证差异等情况，对接口调用设定合理的预警阀值和熔断阀值。当调用电子证照接口的量达预警阀值时，需触发告警及时通过粤政易向省、市政务服务数据管理局进行报备；当调用电子证照接口的量达到熔断值时，请主动暂停其电子证照调用，待分析确保安全后，再恢复服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13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44</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证单位上线用证服务后，需同步在省数据资源“一网共享”平台或地市分节点订阅省电子证照系统用证日志对账接口，开展自动化业务对账，并每日将对账结果通过接口方式上报省电子证照系统，便于用证单位、政务服务数据管理部门及时发现、阻断异常用证行为。</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r>
              <w:tblPrEx>
                <w:tblCellMar>
                  <w:top w:w="0" w:type="dxa"/>
                  <w:left w:w="108" w:type="dxa"/>
                  <w:bottom w:w="0" w:type="dxa"/>
                  <w:right w:w="108" w:type="dxa"/>
                </w:tblCellMar>
              </w:tblPrEx>
              <w:trPr>
                <w:trHeight w:val="1119"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45</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定期组织对用证系统进行用证日志审计，调用日志需记录入参携带的用证单位、用证系统名称、系统用证账号paasID、访问IP、事项名称、事项编码、持证人身份、用证人实名认证结果等信息，对电子证照应用做好事后审计，提高应用监管能力。</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w:t>
                  </w:r>
                </w:p>
              </w:tc>
            </w:tr>
          </w:tbl>
          <w:p>
            <w:pPr>
              <w:rPr>
                <w:b/>
                <w:bCs/>
                <w:color w:val="auto"/>
                <w:highlight w:val="none"/>
              </w:rPr>
            </w:pPr>
          </w:p>
          <w:p>
            <w:pPr>
              <w:rPr>
                <w:b/>
                <w:bCs/>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426" w:type="dxa"/>
          </w:tcPr>
          <w:p>
            <w:pPr>
              <w:rPr>
                <w:color w:val="auto"/>
                <w:highlight w:val="none"/>
              </w:rPr>
            </w:pPr>
          </w:p>
        </w:tc>
        <w:tc>
          <w:tcPr>
            <w:tcW w:w="654" w:type="dxa"/>
          </w:tcPr>
          <w:p>
            <w:pPr>
              <w:rPr>
                <w:color w:val="auto"/>
                <w:highlight w:val="none"/>
              </w:rPr>
            </w:pPr>
            <w:r>
              <w:rPr>
                <w:color w:val="auto"/>
                <w:highlight w:val="none"/>
              </w:rPr>
              <w:t>4</w:t>
            </w:r>
          </w:p>
        </w:tc>
        <w:tc>
          <w:tcPr>
            <w:tcW w:w="8281" w:type="dxa"/>
          </w:tcPr>
          <w:p>
            <w:pPr>
              <w:rPr>
                <w:b/>
                <w:bCs/>
                <w:color w:val="auto"/>
                <w:highlight w:val="none"/>
              </w:rPr>
            </w:pPr>
            <w:r>
              <w:rPr>
                <w:b/>
                <w:bCs/>
                <w:color w:val="auto"/>
                <w:highlight w:val="none"/>
              </w:rPr>
              <w:t>4</w:t>
            </w:r>
            <w:r>
              <w:rPr>
                <w:rFonts w:hint="eastAsia"/>
                <w:b/>
                <w:bCs/>
                <w:color w:val="auto"/>
                <w:highlight w:val="none"/>
              </w:rPr>
              <w:t>三级等保整改服务</w:t>
            </w:r>
          </w:p>
          <w:p>
            <w:pPr>
              <w:rPr>
                <w:b/>
                <w:bCs/>
                <w:color w:val="auto"/>
                <w:highlight w:val="none"/>
              </w:rPr>
            </w:pPr>
            <w:r>
              <w:rPr>
                <w:b/>
                <w:bCs/>
                <w:color w:val="auto"/>
                <w:highlight w:val="none"/>
              </w:rPr>
              <w:t>4</w:t>
            </w:r>
            <w:r>
              <w:rPr>
                <w:rFonts w:hint="eastAsia"/>
                <w:b/>
                <w:bCs/>
                <w:color w:val="auto"/>
                <w:highlight w:val="none"/>
              </w:rPr>
              <w:t>.1.等保整改服务概述</w:t>
            </w:r>
          </w:p>
          <w:p>
            <w:pPr>
              <w:spacing w:line="440" w:lineRule="exact"/>
              <w:ind w:firstLine="420" w:firstLineChars="200"/>
              <w:rPr>
                <w:color w:val="auto"/>
                <w:highlight w:val="none"/>
              </w:rPr>
            </w:pPr>
            <w:r>
              <w:rPr>
                <w:rFonts w:hint="eastAsia"/>
                <w:color w:val="auto"/>
                <w:highlight w:val="none"/>
              </w:rPr>
              <w:t>为加强电子证照应用安全，根据《广东省政务服务数据管理局关于开展电子证照用证系统安全自查和安全检查的通知》以及《关于开展政务系统（公众侧）网络安全风险隐患自查整改工作的补充通知》有关要求，有电子证照用证需求的业务系统需完成三级等保，并对接省“数字空间”，方可实现电子证照应用。</w:t>
            </w:r>
          </w:p>
          <w:p>
            <w:pPr>
              <w:spacing w:line="440" w:lineRule="exact"/>
              <w:ind w:firstLine="420" w:firstLineChars="200"/>
              <w:rPr>
                <w:color w:val="auto"/>
                <w:highlight w:val="none"/>
              </w:rPr>
            </w:pPr>
            <w:r>
              <w:rPr>
                <w:rFonts w:hint="eastAsia"/>
                <w:color w:val="auto"/>
                <w:highlight w:val="none"/>
              </w:rPr>
              <w:t>本项目要求完成信息系统（下表的4个系统）安全等级保护测评工作，该项工作由采购人组织安排符合资质要求的测评机构进行（安全等级保护测评费用由中山市级统筹），成交供应商须配合完成信息系统安全等级保护的测评工作。若因系统自身安全原因，导致本项目信息系统安全等级保护测评不通过，则信息系统安全等级保护再次测评及系统整改所产生的费用由成交供应商承担，</w:t>
            </w:r>
            <w:r>
              <w:rPr>
                <w:rFonts w:hint="eastAsia"/>
                <w:color w:val="auto"/>
                <w:highlight w:val="none"/>
                <w:lang w:eastAsia="zh-CN"/>
              </w:rPr>
              <w:t>采购人</w:t>
            </w:r>
            <w:r>
              <w:rPr>
                <w:rFonts w:hint="eastAsia"/>
                <w:color w:val="auto"/>
                <w:highlight w:val="none"/>
              </w:rPr>
              <w:t>有权直接在应付未付</w:t>
            </w:r>
            <w:r>
              <w:rPr>
                <w:rFonts w:hint="eastAsia"/>
                <w:color w:val="auto"/>
                <w:highlight w:val="none"/>
                <w:lang w:eastAsia="zh-CN"/>
              </w:rPr>
              <w:t>成交供应商</w:t>
            </w:r>
            <w:r>
              <w:rPr>
                <w:rFonts w:hint="eastAsia"/>
                <w:color w:val="auto"/>
                <w:highlight w:val="none"/>
              </w:rPr>
              <w:t>的合同款项中扣除本合同项下</w:t>
            </w:r>
            <w:r>
              <w:rPr>
                <w:rFonts w:hint="eastAsia"/>
                <w:color w:val="auto"/>
                <w:highlight w:val="none"/>
                <w:lang w:eastAsia="zh-CN"/>
              </w:rPr>
              <w:t>成交供应商</w:t>
            </w:r>
            <w:r>
              <w:rPr>
                <w:rFonts w:hint="eastAsia"/>
                <w:color w:val="auto"/>
                <w:highlight w:val="none"/>
              </w:rPr>
              <w:t>应付的上述费用（即安全等级测评费用），不足部分有权向</w:t>
            </w:r>
            <w:r>
              <w:rPr>
                <w:rFonts w:hint="eastAsia"/>
                <w:color w:val="auto"/>
                <w:highlight w:val="none"/>
                <w:lang w:eastAsia="zh-CN"/>
              </w:rPr>
              <w:t>成交供应商</w:t>
            </w:r>
            <w:r>
              <w:rPr>
                <w:rFonts w:hint="eastAsia"/>
                <w:color w:val="auto"/>
                <w:highlight w:val="none"/>
              </w:rPr>
              <w:t>继续追偿，且成交供应商应承担由此产生的一切责任（包括但不限于律师费、</w:t>
            </w:r>
            <w:bookmarkStart w:id="0" w:name="_Hlk73115892"/>
            <w:r>
              <w:rPr>
                <w:rFonts w:hint="eastAsia"/>
                <w:color w:val="auto"/>
                <w:highlight w:val="none"/>
              </w:rPr>
              <w:t>财产保全费、</w:t>
            </w:r>
            <w:bookmarkStart w:id="1" w:name="_Hlk73126393"/>
            <w:r>
              <w:rPr>
                <w:rFonts w:hint="eastAsia"/>
                <w:color w:val="auto"/>
                <w:highlight w:val="none"/>
              </w:rPr>
              <w:t>财产保全保险费</w:t>
            </w:r>
            <w:bookmarkEnd w:id="0"/>
            <w:bookmarkEnd w:id="1"/>
            <w:r>
              <w:rPr>
                <w:rFonts w:hint="eastAsia"/>
                <w:color w:val="auto"/>
                <w:highlight w:val="none"/>
              </w:rPr>
              <w:t>诉讼费、向第三方支付违约金或赔偿金、罚款等）。</w:t>
            </w:r>
          </w:p>
          <w:p>
            <w:pPr>
              <w:spacing w:line="440" w:lineRule="exact"/>
              <w:ind w:firstLine="420" w:firstLineChars="200"/>
              <w:rPr>
                <w:color w:val="auto"/>
                <w:highlight w:val="none"/>
              </w:rPr>
            </w:pPr>
          </w:p>
          <w:p>
            <w:pPr>
              <w:ind w:firstLine="420" w:firstLineChars="200"/>
              <w:rPr>
                <w:color w:val="auto"/>
                <w:highlight w:val="none"/>
              </w:rPr>
            </w:pPr>
            <w:r>
              <w:rPr>
                <w:rFonts w:hint="eastAsia"/>
                <w:color w:val="auto"/>
                <w:highlight w:val="none"/>
              </w:rPr>
              <w:t>本项目需要进行三级等保整改提升的政务用证系统如下：</w:t>
            </w:r>
          </w:p>
          <w:tbl>
            <w:tblPr>
              <w:tblStyle w:val="8"/>
              <w:tblW w:w="779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606"/>
              <w:gridCol w:w="3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62"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3606"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用证系统</w:t>
                  </w:r>
                </w:p>
              </w:tc>
              <w:tc>
                <w:tcPr>
                  <w:tcW w:w="3425" w:type="dxa"/>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用证单位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606"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中山市商事登记全程电子化智能申报审批平台</w:t>
                  </w:r>
                </w:p>
              </w:tc>
              <w:tc>
                <w:tcPr>
                  <w:tcW w:w="34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606"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中山市一照通行服务平台</w:t>
                  </w:r>
                </w:p>
              </w:tc>
              <w:tc>
                <w:tcPr>
                  <w:tcW w:w="34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606"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中山市住房和城乡建设管理信息系统</w:t>
                  </w:r>
                </w:p>
              </w:tc>
              <w:tc>
                <w:tcPr>
                  <w:tcW w:w="34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606"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公共服务网上自助申报系统</w:t>
                  </w:r>
                </w:p>
              </w:tc>
              <w:tc>
                <w:tcPr>
                  <w:tcW w:w="3425"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中山市人力资源和社会保障局</w:t>
                  </w:r>
                </w:p>
              </w:tc>
            </w:tr>
          </w:tbl>
          <w:p>
            <w:pPr>
              <w:rPr>
                <w:color w:val="auto"/>
                <w:highlight w:val="none"/>
              </w:rPr>
            </w:pPr>
          </w:p>
          <w:p>
            <w:pPr>
              <w:rPr>
                <w:b/>
                <w:bCs/>
                <w:color w:val="auto"/>
                <w:highlight w:val="none"/>
              </w:rPr>
            </w:pPr>
            <w:r>
              <w:rPr>
                <w:b/>
                <w:bCs/>
                <w:color w:val="auto"/>
                <w:highlight w:val="none"/>
              </w:rPr>
              <w:t>4</w:t>
            </w:r>
            <w:r>
              <w:rPr>
                <w:rFonts w:hint="eastAsia"/>
                <w:b/>
                <w:bCs/>
                <w:color w:val="auto"/>
                <w:highlight w:val="none"/>
              </w:rPr>
              <w:t>.2.等保整改服务目标</w:t>
            </w:r>
          </w:p>
          <w:p>
            <w:pPr>
              <w:ind w:firstLine="420" w:firstLineChars="200"/>
              <w:rPr>
                <w:color w:val="auto"/>
                <w:highlight w:val="none"/>
              </w:rPr>
            </w:pPr>
            <w:r>
              <w:rPr>
                <w:rFonts w:hint="eastAsia"/>
                <w:color w:val="auto"/>
                <w:highlight w:val="none"/>
              </w:rPr>
              <w:t>按照GB 17859-1999对第三级系统的安全保护要求，各政务用证系统在第二级系统安全保护环境的基础上，通过实现基于安全策略模型和标记的强制访问控制以及增强系统的审计机制，使用证系统具有在统一安全策略管控下，保护个人、法人电子证照资源的能力，并保障用证系统基础计算资源和应用程序可信，确保用证过程关键执行环节可信。</w:t>
            </w:r>
          </w:p>
          <w:p>
            <w:pPr>
              <w:rPr>
                <w:b/>
                <w:bCs/>
                <w:color w:val="auto"/>
                <w:highlight w:val="none"/>
              </w:rPr>
            </w:pPr>
            <w:r>
              <w:rPr>
                <w:b/>
                <w:bCs/>
                <w:color w:val="auto"/>
                <w:highlight w:val="none"/>
              </w:rPr>
              <w:t>4</w:t>
            </w:r>
            <w:r>
              <w:rPr>
                <w:rFonts w:hint="eastAsia"/>
                <w:b/>
                <w:bCs/>
                <w:color w:val="auto"/>
                <w:highlight w:val="none"/>
              </w:rPr>
              <w:t>.3.等保整改设计策略</w:t>
            </w:r>
          </w:p>
          <w:p>
            <w:pPr>
              <w:ind w:firstLine="420" w:firstLineChars="200"/>
              <w:rPr>
                <w:color w:val="auto"/>
                <w:highlight w:val="none"/>
              </w:rPr>
            </w:pPr>
            <w:r>
              <w:rPr>
                <w:rFonts w:hint="eastAsia"/>
                <w:color w:val="auto"/>
                <w:highlight w:val="none"/>
              </w:rPr>
              <w:t>第三级系统安全保护环境的设计通过第三级的安全计算环境、安全区域边界、安全通信网络以及安全管理中心的设计加以实现。计算节点都应基于可信根实现开机到操作系统启动，再到应用程序启动的可信验证，并在应用程序的关键执行环节对其执行环境进行可信验证，主动抵御病毒入侵行为，并将验证结果形成审计记录，送至安全管理中心。</w:t>
            </w:r>
            <w:r>
              <w:rPr>
                <w:color w:val="auto"/>
                <w:highlight w:val="none"/>
              </w:rPr>
              <w:t xml:space="preserve"> </w:t>
            </w:r>
          </w:p>
          <w:p>
            <w:pPr>
              <w:rPr>
                <w:b/>
                <w:bCs/>
                <w:color w:val="auto"/>
                <w:highlight w:val="none"/>
              </w:rPr>
            </w:pPr>
            <w:r>
              <w:rPr>
                <w:b/>
                <w:bCs/>
                <w:color w:val="auto"/>
                <w:highlight w:val="none"/>
              </w:rPr>
              <w:t>4</w:t>
            </w:r>
            <w:r>
              <w:rPr>
                <w:rFonts w:hint="eastAsia"/>
                <w:b/>
                <w:bCs/>
                <w:color w:val="auto"/>
                <w:highlight w:val="none"/>
              </w:rPr>
              <w:t>.</w:t>
            </w:r>
            <w:r>
              <w:rPr>
                <w:b/>
                <w:bCs/>
                <w:color w:val="auto"/>
                <w:highlight w:val="none"/>
              </w:rPr>
              <w:t>4</w:t>
            </w:r>
            <w:r>
              <w:rPr>
                <w:rFonts w:hint="eastAsia"/>
                <w:b/>
                <w:bCs/>
                <w:color w:val="auto"/>
                <w:highlight w:val="none"/>
              </w:rPr>
              <w:t>.安全计算环境整改</w:t>
            </w:r>
          </w:p>
          <w:p>
            <w:pPr>
              <w:ind w:firstLine="420" w:firstLineChars="200"/>
              <w:rPr>
                <w:color w:val="auto"/>
                <w:highlight w:val="none"/>
              </w:rPr>
            </w:pPr>
            <w:r>
              <w:rPr>
                <w:rFonts w:hint="eastAsia"/>
                <w:bCs/>
                <w:color w:val="auto"/>
                <w:highlight w:val="none"/>
              </w:rPr>
              <w:t>本项目要求围绕用户身份鉴别</w:t>
            </w:r>
            <w:r>
              <w:rPr>
                <w:rFonts w:hint="eastAsia"/>
                <w:color w:val="auto"/>
                <w:highlight w:val="none"/>
              </w:rPr>
              <w:t>、</w:t>
            </w:r>
            <w:r>
              <w:rPr>
                <w:rFonts w:hint="eastAsia"/>
                <w:bCs/>
                <w:color w:val="auto"/>
                <w:highlight w:val="none"/>
              </w:rPr>
              <w:t>自主访问控制</w:t>
            </w:r>
            <w:r>
              <w:rPr>
                <w:rFonts w:hint="eastAsia"/>
                <w:color w:val="auto"/>
                <w:highlight w:val="none"/>
              </w:rPr>
              <w:t>、</w:t>
            </w:r>
            <w:r>
              <w:rPr>
                <w:rFonts w:hint="eastAsia"/>
                <w:bCs/>
                <w:color w:val="auto"/>
                <w:highlight w:val="none"/>
              </w:rPr>
              <w:t>标记和强制访问控制</w:t>
            </w:r>
            <w:r>
              <w:rPr>
                <w:rFonts w:hint="eastAsia"/>
                <w:color w:val="auto"/>
                <w:highlight w:val="none"/>
              </w:rPr>
              <w:t>、</w:t>
            </w:r>
            <w:r>
              <w:rPr>
                <w:rFonts w:hint="eastAsia"/>
                <w:bCs/>
                <w:color w:val="auto"/>
                <w:highlight w:val="none"/>
              </w:rPr>
              <w:t>系统安全审计</w:t>
            </w:r>
            <w:r>
              <w:rPr>
                <w:rFonts w:hint="eastAsia"/>
                <w:color w:val="auto"/>
                <w:highlight w:val="none"/>
              </w:rPr>
              <w:t>、</w:t>
            </w:r>
            <w:r>
              <w:rPr>
                <w:rFonts w:hint="eastAsia"/>
                <w:bCs/>
                <w:color w:val="auto"/>
                <w:highlight w:val="none"/>
              </w:rPr>
              <w:t>用户数据完整性保护</w:t>
            </w:r>
            <w:r>
              <w:rPr>
                <w:rFonts w:hint="eastAsia"/>
                <w:color w:val="auto"/>
                <w:highlight w:val="none"/>
              </w:rPr>
              <w:t>、</w:t>
            </w:r>
            <w:r>
              <w:rPr>
                <w:rFonts w:hint="eastAsia"/>
                <w:bCs/>
                <w:color w:val="auto"/>
                <w:highlight w:val="none"/>
              </w:rPr>
              <w:t>用户数据保密性保护</w:t>
            </w:r>
            <w:r>
              <w:rPr>
                <w:rFonts w:hint="eastAsia"/>
                <w:color w:val="auto"/>
                <w:highlight w:val="none"/>
              </w:rPr>
              <w:t>、</w:t>
            </w:r>
            <w:r>
              <w:rPr>
                <w:rFonts w:hint="eastAsia"/>
                <w:bCs/>
                <w:color w:val="auto"/>
                <w:highlight w:val="none"/>
              </w:rPr>
              <w:t>客体安全重用</w:t>
            </w:r>
            <w:r>
              <w:rPr>
                <w:rFonts w:hint="eastAsia"/>
                <w:color w:val="auto"/>
                <w:highlight w:val="none"/>
              </w:rPr>
              <w:t>、</w:t>
            </w:r>
            <w:r>
              <w:rPr>
                <w:rFonts w:hint="eastAsia"/>
                <w:bCs/>
                <w:color w:val="auto"/>
                <w:highlight w:val="none"/>
              </w:rPr>
              <w:t>可信验证</w:t>
            </w:r>
            <w:r>
              <w:rPr>
                <w:rFonts w:hint="eastAsia"/>
                <w:color w:val="auto"/>
                <w:highlight w:val="none"/>
              </w:rPr>
              <w:t>、</w:t>
            </w:r>
            <w:r>
              <w:rPr>
                <w:rFonts w:hint="eastAsia"/>
                <w:bCs/>
                <w:color w:val="auto"/>
                <w:highlight w:val="none"/>
              </w:rPr>
              <w:t>配置可信检查</w:t>
            </w:r>
            <w:r>
              <w:rPr>
                <w:rFonts w:hint="eastAsia"/>
                <w:color w:val="auto"/>
                <w:highlight w:val="none"/>
              </w:rPr>
              <w:t>、</w:t>
            </w:r>
            <w:r>
              <w:rPr>
                <w:rFonts w:hint="eastAsia"/>
                <w:bCs/>
                <w:color w:val="auto"/>
                <w:highlight w:val="none"/>
              </w:rPr>
              <w:t>入侵检测和恶意代码防范等方面对安全计算环境进行整改。</w:t>
            </w:r>
          </w:p>
          <w:p>
            <w:pPr>
              <w:rPr>
                <w:b/>
                <w:bCs/>
                <w:color w:val="auto"/>
                <w:highlight w:val="none"/>
              </w:rPr>
            </w:pPr>
            <w:r>
              <w:rPr>
                <w:b/>
                <w:bCs/>
                <w:color w:val="auto"/>
                <w:highlight w:val="none"/>
              </w:rPr>
              <w:t>4</w:t>
            </w:r>
            <w:r>
              <w:rPr>
                <w:rFonts w:hint="eastAsia"/>
                <w:b/>
                <w:bCs/>
                <w:color w:val="auto"/>
                <w:highlight w:val="none"/>
              </w:rPr>
              <w:t>.</w:t>
            </w:r>
            <w:r>
              <w:rPr>
                <w:b/>
                <w:bCs/>
                <w:color w:val="auto"/>
                <w:highlight w:val="none"/>
              </w:rPr>
              <w:t>5</w:t>
            </w:r>
            <w:r>
              <w:rPr>
                <w:rFonts w:hint="eastAsia"/>
                <w:b/>
                <w:bCs/>
                <w:color w:val="auto"/>
                <w:highlight w:val="none"/>
              </w:rPr>
              <w:t>.安全区域边界整改</w:t>
            </w:r>
          </w:p>
          <w:p>
            <w:pPr>
              <w:ind w:firstLine="420" w:firstLineChars="200"/>
              <w:rPr>
                <w:color w:val="auto"/>
                <w:highlight w:val="none"/>
              </w:rPr>
            </w:pPr>
            <w:r>
              <w:rPr>
                <w:rFonts w:hint="eastAsia"/>
                <w:color w:val="auto"/>
                <w:highlight w:val="none"/>
              </w:rPr>
              <w:t>本项目要求围绕区域边界访问控制、区域边界包过滤、区域边界安全审计、区域边界完整性保护、可信验证等方面对安全区域边界进行整改。</w:t>
            </w:r>
          </w:p>
          <w:p>
            <w:pPr>
              <w:rPr>
                <w:b/>
                <w:bCs/>
                <w:color w:val="auto"/>
                <w:highlight w:val="none"/>
              </w:rPr>
            </w:pPr>
            <w:r>
              <w:rPr>
                <w:b/>
                <w:bCs/>
                <w:color w:val="auto"/>
                <w:highlight w:val="none"/>
              </w:rPr>
              <w:t>4</w:t>
            </w:r>
            <w:r>
              <w:rPr>
                <w:rFonts w:hint="eastAsia"/>
                <w:b/>
                <w:bCs/>
                <w:color w:val="auto"/>
                <w:highlight w:val="none"/>
              </w:rPr>
              <w:t>.</w:t>
            </w:r>
            <w:r>
              <w:rPr>
                <w:b/>
                <w:bCs/>
                <w:color w:val="auto"/>
                <w:highlight w:val="none"/>
              </w:rPr>
              <w:t>6</w:t>
            </w:r>
            <w:r>
              <w:rPr>
                <w:rFonts w:hint="eastAsia"/>
                <w:b/>
                <w:bCs/>
                <w:color w:val="auto"/>
                <w:highlight w:val="none"/>
              </w:rPr>
              <w:t>.安全通信网络整改</w:t>
            </w:r>
          </w:p>
          <w:p>
            <w:pPr>
              <w:ind w:firstLine="420" w:firstLineChars="200"/>
              <w:rPr>
                <w:color w:val="auto"/>
                <w:highlight w:val="none"/>
              </w:rPr>
            </w:pPr>
            <w:r>
              <w:rPr>
                <w:rFonts w:hint="eastAsia"/>
                <w:color w:val="auto"/>
                <w:highlight w:val="none"/>
              </w:rPr>
              <w:t>本项目要求围绕通信网络安全审计、通信网络数据传输完整性保护、通信网络数据传输保密性保护、可信连接验证等方面对安全通信网络进行整改。</w:t>
            </w:r>
          </w:p>
          <w:p>
            <w:pPr>
              <w:rPr>
                <w:b/>
                <w:bCs/>
                <w:color w:val="auto"/>
                <w:highlight w:val="none"/>
              </w:rPr>
            </w:pPr>
            <w:r>
              <w:rPr>
                <w:b/>
                <w:bCs/>
                <w:color w:val="auto"/>
                <w:highlight w:val="none"/>
              </w:rPr>
              <w:t>4</w:t>
            </w:r>
            <w:r>
              <w:rPr>
                <w:rFonts w:hint="eastAsia"/>
                <w:b/>
                <w:bCs/>
                <w:color w:val="auto"/>
                <w:highlight w:val="none"/>
              </w:rPr>
              <w:t>.</w:t>
            </w:r>
            <w:r>
              <w:rPr>
                <w:b/>
                <w:bCs/>
                <w:color w:val="auto"/>
                <w:highlight w:val="none"/>
              </w:rPr>
              <w:t>7</w:t>
            </w:r>
            <w:r>
              <w:rPr>
                <w:rFonts w:hint="eastAsia"/>
                <w:b/>
                <w:bCs/>
                <w:color w:val="auto"/>
                <w:highlight w:val="none"/>
              </w:rPr>
              <w:t>.安全管理中心建设</w:t>
            </w:r>
          </w:p>
          <w:p>
            <w:pPr>
              <w:ind w:firstLine="420" w:firstLineChars="200"/>
              <w:rPr>
                <w:color w:val="auto"/>
                <w:highlight w:val="none"/>
              </w:rPr>
            </w:pPr>
            <w:r>
              <w:rPr>
                <w:rFonts w:hint="eastAsia"/>
                <w:color w:val="auto"/>
                <w:highlight w:val="none"/>
              </w:rPr>
              <w:t>本项目要求围绕系统管理、安全管理、审计管理等方面内容进行安全管理中心建设。</w:t>
            </w:r>
          </w:p>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pPr>
              <w:rPr>
                <w:color w:val="auto"/>
                <w:highlight w:val="none"/>
              </w:rPr>
            </w:pPr>
          </w:p>
        </w:tc>
        <w:tc>
          <w:tcPr>
            <w:tcW w:w="654" w:type="dxa"/>
          </w:tcPr>
          <w:p>
            <w:pPr>
              <w:rPr>
                <w:color w:val="auto"/>
                <w:highlight w:val="none"/>
              </w:rPr>
            </w:pPr>
            <w:r>
              <w:rPr>
                <w:color w:val="auto"/>
                <w:highlight w:val="none"/>
              </w:rPr>
              <w:t>5</w:t>
            </w:r>
          </w:p>
        </w:tc>
        <w:tc>
          <w:tcPr>
            <w:tcW w:w="8281" w:type="dxa"/>
          </w:tcPr>
          <w:p>
            <w:pPr>
              <w:rPr>
                <w:b/>
                <w:bCs/>
                <w:color w:val="auto"/>
                <w:highlight w:val="none"/>
              </w:rPr>
            </w:pPr>
            <w:r>
              <w:rPr>
                <w:b/>
                <w:bCs/>
                <w:color w:val="auto"/>
                <w:highlight w:val="none"/>
              </w:rPr>
              <w:t>5</w:t>
            </w:r>
            <w:r>
              <w:rPr>
                <w:rFonts w:hint="eastAsia"/>
                <w:b/>
                <w:bCs/>
                <w:color w:val="auto"/>
                <w:highlight w:val="none"/>
              </w:rPr>
              <w:t>电子政务云资源申请需求</w:t>
            </w:r>
          </w:p>
          <w:p>
            <w:pPr>
              <w:ind w:firstLine="420" w:firstLineChars="200"/>
              <w:rPr>
                <w:color w:val="auto"/>
                <w:highlight w:val="none"/>
              </w:rPr>
            </w:pPr>
            <w:r>
              <w:rPr>
                <w:rFonts w:hint="eastAsia"/>
                <w:color w:val="auto"/>
                <w:highlight w:val="none"/>
              </w:rPr>
              <w:t>省数字空间系统后端服务部署于省政务云平台，运行在政务外网环境，前端部署、运行在互联网环境。本项目申请对接的用证系统，要求通过政务外网环境进行对接。本项目要求利用原有服务器资源进行数字空间接入、三级等保整改。</w:t>
            </w:r>
          </w:p>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pPr>
              <w:rPr>
                <w:color w:val="auto"/>
                <w:highlight w:val="none"/>
              </w:rPr>
            </w:pPr>
          </w:p>
        </w:tc>
        <w:tc>
          <w:tcPr>
            <w:tcW w:w="654" w:type="dxa"/>
          </w:tcPr>
          <w:p>
            <w:pPr>
              <w:rPr>
                <w:color w:val="auto"/>
                <w:highlight w:val="none"/>
              </w:rPr>
            </w:pPr>
            <w:r>
              <w:rPr>
                <w:color w:val="auto"/>
                <w:highlight w:val="none"/>
              </w:rPr>
              <w:t>6</w:t>
            </w:r>
          </w:p>
        </w:tc>
        <w:tc>
          <w:tcPr>
            <w:tcW w:w="8281" w:type="dxa"/>
          </w:tcPr>
          <w:p>
            <w:pPr>
              <w:rPr>
                <w:b/>
                <w:bCs/>
                <w:color w:val="auto"/>
                <w:highlight w:val="none"/>
              </w:rPr>
            </w:pPr>
            <w:r>
              <w:rPr>
                <w:b/>
                <w:bCs/>
                <w:color w:val="auto"/>
                <w:highlight w:val="none"/>
              </w:rPr>
              <w:t>6</w:t>
            </w:r>
            <w:r>
              <w:rPr>
                <w:rFonts w:hint="eastAsia"/>
                <w:b/>
                <w:bCs/>
                <w:color w:val="auto"/>
                <w:highlight w:val="none"/>
              </w:rPr>
              <w:t>项目软件系统运行维护期服务要求</w:t>
            </w:r>
          </w:p>
          <w:p>
            <w:pPr>
              <w:ind w:firstLine="420" w:firstLineChars="200"/>
              <w:jc w:val="left"/>
              <w:rPr>
                <w:color w:val="auto"/>
                <w:highlight w:val="none"/>
              </w:rPr>
            </w:pPr>
            <w:r>
              <w:rPr>
                <w:rFonts w:hint="eastAsia"/>
                <w:color w:val="auto"/>
                <w:highlight w:val="none"/>
              </w:rPr>
              <w:t>成交供应商应对本项目所有软件开发成果提供运维服务，确保本项目开发（涉及接口对接开发）各系统模块能够持续稳定运行。项目软件系统运行维护期自通过综合验收之日起1年。</w:t>
            </w:r>
          </w:p>
          <w:p>
            <w:pPr>
              <w:ind w:firstLine="420" w:firstLineChars="200"/>
              <w:rPr>
                <w:color w:val="auto"/>
                <w:highlight w:val="none"/>
              </w:rPr>
            </w:pPr>
            <w:r>
              <w:rPr>
                <w:rFonts w:hint="eastAsia"/>
                <w:color w:val="auto"/>
                <w:highlight w:val="none"/>
              </w:rPr>
              <w:t>在软件系统（本项目涉及对接数字空间的6个业务系统）运行维护期内，成交供应商应向采购人提供以下技术支持与服务：</w:t>
            </w:r>
          </w:p>
          <w:p>
            <w:pPr>
              <w:ind w:firstLine="420" w:firstLineChars="200"/>
              <w:rPr>
                <w:color w:val="auto"/>
                <w:highlight w:val="none"/>
              </w:rPr>
            </w:pPr>
            <w:r>
              <w:rPr>
                <w:rFonts w:hint="eastAsia"/>
                <w:color w:val="auto"/>
                <w:highlight w:val="none"/>
              </w:rPr>
              <w:t>（1）在软件系统运行维护期内，成交供应商负责对其提供的软件系统进行维修保养，不再向采购人收取费用；</w:t>
            </w:r>
          </w:p>
          <w:p>
            <w:pPr>
              <w:ind w:firstLine="420" w:firstLineChars="200"/>
              <w:rPr>
                <w:color w:val="auto"/>
                <w:highlight w:val="none"/>
              </w:rPr>
            </w:pPr>
            <w:r>
              <w:rPr>
                <w:rFonts w:hint="eastAsia"/>
                <w:color w:val="auto"/>
                <w:highlight w:val="none"/>
              </w:rPr>
              <w:t>（2）在软件系统运行维护期内，成交供应商负责系统运行环境的软件系统运行维护和管理；</w:t>
            </w:r>
          </w:p>
          <w:p>
            <w:pPr>
              <w:ind w:firstLine="420" w:firstLineChars="200"/>
              <w:rPr>
                <w:color w:val="auto"/>
                <w:highlight w:val="none"/>
              </w:rPr>
            </w:pPr>
            <w:r>
              <w:rPr>
                <w:rFonts w:hint="eastAsia"/>
                <w:color w:val="auto"/>
                <w:highlight w:val="none"/>
              </w:rPr>
              <w:t>（3）响应时限要求（软件系统运行维护期内）：响应时限为15分钟内响应，</w:t>
            </w:r>
            <w:r>
              <w:rPr>
                <w:rFonts w:hint="eastAsia" w:ascii="宋体" w:hAnsi="宋体" w:eastAsia="宋体" w:cs="宋体"/>
                <w:color w:val="auto"/>
                <w:kern w:val="0"/>
                <w:szCs w:val="21"/>
                <w:highlight w:val="none"/>
                <w:lang w:bidi="ar"/>
              </w:rPr>
              <w:t>1小时内赶赴现场，到达现场后1小时内恢复系统运行</w:t>
            </w:r>
            <w:r>
              <w:rPr>
                <w:rFonts w:hint="eastAsia"/>
                <w:color w:val="auto"/>
                <w:highlight w:val="none"/>
              </w:rPr>
              <w:t>。</w:t>
            </w:r>
          </w:p>
          <w:p>
            <w:pPr>
              <w:ind w:firstLine="420" w:firstLineChars="200"/>
              <w:rPr>
                <w:color w:val="auto"/>
                <w:highlight w:val="none"/>
              </w:rPr>
            </w:pPr>
            <w:r>
              <w:rPr>
                <w:rFonts w:hint="eastAsia"/>
                <w:color w:val="auto"/>
                <w:highlight w:val="none"/>
              </w:rPr>
              <w:t>（4）提供定期系统巡视服务，检测系统运行情况并做好系统运行记录。</w:t>
            </w:r>
          </w:p>
          <w:p>
            <w:pPr>
              <w:ind w:firstLine="420" w:firstLineChars="200"/>
              <w:rPr>
                <w:color w:val="auto"/>
                <w:highlight w:val="none"/>
              </w:rPr>
            </w:pPr>
            <w:r>
              <w:rPr>
                <w:rFonts w:hint="eastAsia"/>
                <w:color w:val="auto"/>
                <w:highlight w:val="none"/>
              </w:rPr>
              <w:t>（5）以上服务如有违约，可按合同相关约定进行处理。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pPr>
              <w:rPr>
                <w:color w:val="auto"/>
                <w:highlight w:val="none"/>
              </w:rPr>
            </w:pPr>
          </w:p>
        </w:tc>
        <w:tc>
          <w:tcPr>
            <w:tcW w:w="654" w:type="dxa"/>
          </w:tcPr>
          <w:p>
            <w:pPr>
              <w:rPr>
                <w:color w:val="auto"/>
                <w:highlight w:val="none"/>
              </w:rPr>
            </w:pPr>
            <w:r>
              <w:rPr>
                <w:rFonts w:hint="eastAsia"/>
                <w:color w:val="auto"/>
                <w:highlight w:val="none"/>
              </w:rPr>
              <w:t>7</w:t>
            </w:r>
          </w:p>
        </w:tc>
        <w:tc>
          <w:tcPr>
            <w:tcW w:w="8281" w:type="dxa"/>
          </w:tcPr>
          <w:p>
            <w:pPr>
              <w:ind w:firstLine="422" w:firstLineChars="200"/>
              <w:rPr>
                <w:rFonts w:ascii="Calibri" w:hAnsi="Calibri" w:eastAsia="宋体" w:cs="Times New Roman"/>
                <w:b/>
                <w:color w:val="auto"/>
                <w:szCs w:val="21"/>
                <w:highlight w:val="none"/>
                <w:lang w:bidi="ar"/>
              </w:rPr>
            </w:pPr>
            <w:r>
              <w:rPr>
                <w:rFonts w:hint="eastAsia" w:ascii="Calibri" w:hAnsi="Calibri" w:eastAsia="宋体" w:cs="Times New Roman"/>
                <w:b/>
                <w:color w:val="auto"/>
                <w:szCs w:val="21"/>
                <w:highlight w:val="none"/>
                <w:lang w:bidi="ar"/>
              </w:rPr>
              <w:t>7服务团队人员要求</w:t>
            </w:r>
          </w:p>
          <w:p>
            <w:pPr>
              <w:ind w:firstLine="420" w:firstLineChars="200"/>
              <w:rPr>
                <w:rFonts w:hint="eastAsia"/>
                <w:color w:val="auto"/>
                <w:highlight w:val="none"/>
                <w:lang w:eastAsia="zh-CN"/>
              </w:rPr>
            </w:pPr>
            <w:r>
              <w:rPr>
                <w:rFonts w:hint="eastAsia"/>
                <w:color w:val="auto"/>
                <w:highlight w:val="none"/>
                <w:lang w:eastAsia="zh-CN"/>
              </w:rPr>
              <w:t>（1）</w:t>
            </w:r>
            <w:r>
              <w:rPr>
                <w:rFonts w:hint="eastAsia"/>
                <w:color w:val="auto"/>
                <w:highlight w:val="none"/>
                <w:lang w:bidi="ar"/>
              </w:rPr>
              <w:t>成交供应商</w:t>
            </w:r>
            <w:r>
              <w:rPr>
                <w:rFonts w:hint="eastAsia"/>
                <w:color w:val="auto"/>
                <w:highlight w:val="none"/>
                <w:lang w:eastAsia="zh-CN"/>
              </w:rPr>
              <w:t>必须为本项目配备一名专职的项目负责人（项目经理）。</w:t>
            </w:r>
          </w:p>
          <w:p>
            <w:pPr>
              <w:ind w:firstLine="420" w:firstLineChars="200"/>
              <w:rPr>
                <w:rFonts w:hint="eastAsia"/>
                <w:color w:val="auto"/>
                <w:highlight w:val="none"/>
                <w:lang w:eastAsia="zh-CN"/>
              </w:rPr>
            </w:pPr>
            <w:r>
              <w:rPr>
                <w:rFonts w:hint="eastAsia"/>
                <w:color w:val="auto"/>
                <w:highlight w:val="none"/>
                <w:lang w:eastAsia="zh-CN"/>
              </w:rPr>
              <w:t>（2）</w:t>
            </w:r>
            <w:r>
              <w:rPr>
                <w:rFonts w:hint="eastAsia"/>
                <w:color w:val="auto"/>
                <w:highlight w:val="none"/>
                <w:lang w:bidi="ar"/>
              </w:rPr>
              <w:t>成交供应商</w:t>
            </w:r>
            <w:r>
              <w:rPr>
                <w:rFonts w:hint="eastAsia"/>
                <w:color w:val="auto"/>
                <w:highlight w:val="none"/>
                <w:lang w:eastAsia="zh-CN"/>
              </w:rPr>
              <w:t>在项目组人员构成方面，必须配备如下几类人员，且每类岗位人员不少于一人：需求分析师、设计工程师、开发工程师、测试工程师、实施工程师、系统软件系统运行维护工程师。</w:t>
            </w:r>
            <w:r>
              <w:rPr>
                <w:rFonts w:hint="eastAsia"/>
                <w:color w:val="auto"/>
                <w:highlight w:val="none"/>
                <w:lang w:bidi="ar"/>
              </w:rPr>
              <w:t>成交供应商</w:t>
            </w:r>
            <w:r>
              <w:rPr>
                <w:rFonts w:hint="eastAsia"/>
                <w:color w:val="auto"/>
                <w:highlight w:val="none"/>
                <w:lang w:eastAsia="zh-CN"/>
              </w:rPr>
              <w:t>应明确拟投入本项目人员的数量、职务、相关资质和项目经验等。</w:t>
            </w:r>
          </w:p>
          <w:p>
            <w:pPr>
              <w:ind w:firstLine="420" w:firstLineChars="200"/>
              <w:rPr>
                <w:rFonts w:hint="eastAsia"/>
                <w:color w:val="auto"/>
                <w:highlight w:val="none"/>
                <w:lang w:eastAsia="zh-CN"/>
              </w:rPr>
            </w:pPr>
            <w:r>
              <w:rPr>
                <w:rFonts w:hint="eastAsia"/>
                <w:color w:val="auto"/>
                <w:highlight w:val="none"/>
                <w:lang w:eastAsia="zh-CN"/>
              </w:rPr>
              <w:t>（3）</w:t>
            </w:r>
            <w:r>
              <w:rPr>
                <w:rFonts w:hint="eastAsia"/>
                <w:color w:val="auto"/>
                <w:highlight w:val="none"/>
                <w:lang w:bidi="ar"/>
              </w:rPr>
              <w:t>成交供应商</w:t>
            </w:r>
            <w:r>
              <w:rPr>
                <w:rFonts w:hint="eastAsia"/>
                <w:color w:val="auto"/>
                <w:highlight w:val="none"/>
                <w:lang w:eastAsia="zh-CN"/>
              </w:rPr>
              <w:t>一般情况不得更换项目组人员，如需更换提前5个工作日书面报告采购人，征得采购人同意情况下才能更换；如果项目组人员存在工作态度、责任心、技术能力、协调能力等方面之一的问题时 ，采购人有权要求</w:t>
            </w:r>
            <w:r>
              <w:rPr>
                <w:rFonts w:hint="eastAsia"/>
                <w:color w:val="auto"/>
                <w:highlight w:val="none"/>
                <w:lang w:bidi="ar"/>
              </w:rPr>
              <w:t>成交供应商</w:t>
            </w:r>
            <w:r>
              <w:rPr>
                <w:rFonts w:hint="eastAsia"/>
                <w:color w:val="auto"/>
                <w:highlight w:val="none"/>
                <w:lang w:eastAsia="zh-CN"/>
              </w:rPr>
              <w:t>更换项目组人员，并且</w:t>
            </w:r>
            <w:r>
              <w:rPr>
                <w:rFonts w:hint="eastAsia"/>
                <w:color w:val="auto"/>
                <w:highlight w:val="none"/>
                <w:lang w:bidi="ar"/>
              </w:rPr>
              <w:t>成交供应商</w:t>
            </w:r>
            <w:r>
              <w:rPr>
                <w:rFonts w:hint="eastAsia"/>
                <w:color w:val="auto"/>
                <w:highlight w:val="none"/>
                <w:lang w:eastAsia="zh-CN"/>
              </w:rPr>
              <w:t>在收到采购人书面通知之日起5个工作日内更换。否则，采购人有权解除合同。</w:t>
            </w:r>
          </w:p>
          <w:p>
            <w:pPr>
              <w:ind w:firstLine="420" w:firstLineChars="200"/>
              <w:rPr>
                <w:rFonts w:hint="eastAsia"/>
                <w:color w:val="auto"/>
                <w:highlight w:val="none"/>
                <w:lang w:eastAsia="zh-CN"/>
              </w:rPr>
            </w:pPr>
            <w:r>
              <w:rPr>
                <w:rFonts w:hint="eastAsia"/>
                <w:color w:val="auto"/>
                <w:highlight w:val="none"/>
                <w:lang w:eastAsia="zh-CN"/>
              </w:rPr>
              <w:t>（4）</w:t>
            </w:r>
            <w:r>
              <w:rPr>
                <w:rFonts w:hint="eastAsia" w:asciiTheme="minorEastAsia" w:hAnsiTheme="minorEastAsia"/>
                <w:color w:val="auto"/>
                <w:highlight w:val="none"/>
                <w:lang w:val="en-US" w:eastAsia="zh-CN"/>
              </w:rPr>
              <w:t>供应商</w:t>
            </w:r>
            <w:r>
              <w:rPr>
                <w:rFonts w:hint="eastAsia"/>
                <w:color w:val="auto"/>
                <w:highlight w:val="none"/>
                <w:lang w:eastAsia="zh-CN"/>
              </w:rPr>
              <w:t>承诺如</w:t>
            </w:r>
            <w:r>
              <w:rPr>
                <w:rFonts w:hint="eastAsia"/>
                <w:color w:val="auto"/>
                <w:highlight w:val="none"/>
                <w:lang w:val="en-US" w:eastAsia="zh-CN"/>
              </w:rPr>
              <w:t>果</w:t>
            </w:r>
            <w:r>
              <w:rPr>
                <w:rFonts w:hint="eastAsia"/>
                <w:color w:val="auto"/>
                <w:highlight w:val="none"/>
                <w:lang w:eastAsia="zh-CN"/>
              </w:rPr>
              <w:t>中标</w:t>
            </w:r>
            <w:r>
              <w:rPr>
                <w:rFonts w:hint="eastAsia"/>
                <w:color w:val="auto"/>
                <w:highlight w:val="none"/>
                <w:lang w:val="en-US" w:eastAsia="zh-CN"/>
              </w:rPr>
              <w:t>本项目</w:t>
            </w:r>
            <w:r>
              <w:rPr>
                <w:rFonts w:hint="eastAsia"/>
                <w:color w:val="auto"/>
                <w:highlight w:val="none"/>
                <w:lang w:eastAsia="zh-CN"/>
              </w:rPr>
              <w:t>，应为所有项目组人员购买必要的保险，对于项目组成员因为工作在现场引起的各种工伤、安全事件和事故，均由</w:t>
            </w:r>
            <w:r>
              <w:rPr>
                <w:rFonts w:hint="eastAsia"/>
                <w:color w:val="auto"/>
                <w:highlight w:val="none"/>
                <w:lang w:bidi="ar"/>
              </w:rPr>
              <w:t>成交供应商</w:t>
            </w:r>
            <w:r>
              <w:rPr>
                <w:rFonts w:hint="eastAsia"/>
                <w:color w:val="auto"/>
                <w:highlight w:val="none"/>
                <w:lang w:eastAsia="zh-CN"/>
              </w:rPr>
              <w:t>负责处理并承担赔偿责任，采购人免于一切责任，如给采购人造成损失的，</w:t>
            </w:r>
            <w:r>
              <w:rPr>
                <w:rFonts w:hint="eastAsia"/>
                <w:color w:val="auto"/>
                <w:highlight w:val="none"/>
                <w:lang w:bidi="ar"/>
              </w:rPr>
              <w:t>成交供应商</w:t>
            </w:r>
            <w:r>
              <w:rPr>
                <w:rFonts w:hint="eastAsia"/>
                <w:color w:val="auto"/>
                <w:highlight w:val="none"/>
                <w:lang w:eastAsia="zh-CN"/>
              </w:rPr>
              <w:t>须承担赔偿责任。</w:t>
            </w:r>
          </w:p>
          <w:p>
            <w:pPr>
              <w:pStyle w:val="2"/>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74" w:hRule="atLeast"/>
        </w:trPr>
        <w:tc>
          <w:tcPr>
            <w:tcW w:w="426" w:type="dxa"/>
          </w:tcPr>
          <w:p>
            <w:pPr>
              <w:rPr>
                <w:color w:val="auto"/>
                <w:highlight w:val="none"/>
              </w:rPr>
            </w:pPr>
          </w:p>
        </w:tc>
        <w:tc>
          <w:tcPr>
            <w:tcW w:w="654" w:type="dxa"/>
          </w:tcPr>
          <w:p>
            <w:pPr>
              <w:rPr>
                <w:color w:val="auto"/>
                <w:highlight w:val="none"/>
              </w:rPr>
            </w:pPr>
            <w:r>
              <w:rPr>
                <w:rFonts w:hint="eastAsia"/>
                <w:color w:val="auto"/>
                <w:highlight w:val="none"/>
              </w:rPr>
              <w:t>8</w:t>
            </w:r>
          </w:p>
        </w:tc>
        <w:tc>
          <w:tcPr>
            <w:tcW w:w="8281" w:type="dxa"/>
          </w:tcPr>
          <w:p>
            <w:pPr>
              <w:rPr>
                <w:b/>
                <w:bCs/>
                <w:color w:val="auto"/>
                <w:highlight w:val="none"/>
              </w:rPr>
            </w:pPr>
            <w:r>
              <w:rPr>
                <w:rFonts w:hint="eastAsia"/>
                <w:b/>
                <w:bCs/>
                <w:color w:val="auto"/>
                <w:highlight w:val="none"/>
              </w:rPr>
              <w:t>8</w:t>
            </w:r>
            <w:r>
              <w:rPr>
                <w:rFonts w:hint="eastAsia"/>
                <w:b/>
                <w:bCs/>
                <w:color w:val="auto"/>
                <w:highlight w:val="none"/>
                <w:lang w:eastAsia="zh-CN"/>
              </w:rPr>
              <w:t>运维期</w:t>
            </w:r>
            <w:r>
              <w:rPr>
                <w:rFonts w:hint="eastAsia"/>
                <w:b/>
                <w:bCs/>
                <w:color w:val="auto"/>
                <w:highlight w:val="none"/>
              </w:rPr>
              <w:t>服务考核要求</w:t>
            </w:r>
          </w:p>
          <w:p>
            <w:pPr>
              <w:ind w:firstLine="0" w:firstLineChars="0"/>
              <w:rPr>
                <w:color w:val="auto"/>
                <w:highlight w:val="none"/>
              </w:rPr>
            </w:pPr>
            <w:r>
              <w:rPr>
                <w:rFonts w:hint="eastAsia"/>
                <w:color w:val="auto"/>
                <w:highlight w:val="none"/>
                <w:lang w:val="en-US" w:eastAsia="zh-CN"/>
              </w:rPr>
              <w:t>8.1</w:t>
            </w:r>
            <w:r>
              <w:rPr>
                <w:rFonts w:hint="eastAsia"/>
                <w:color w:val="auto"/>
                <w:highlight w:val="none"/>
              </w:rPr>
              <w:t>本项目服务考核的重要性在于能够保证本项目服务质量和效果，提高服务水平。通过对服务考核的制定和实施，采购人能够对服务质量和效果进行监督和评估，及时发现和解决存在的问题，提高服务的响应速度和准确度，保证服务的稳定性和可靠性。同时，服务考核也可以促进服务提供方的积极性和创造性，鼓励其在服务过程中不断创新和改进，提高服务质量和效果，从而更好地满足采购人需求。</w:t>
            </w:r>
          </w:p>
          <w:p>
            <w:pPr>
              <w:pStyle w:val="4"/>
              <w:ind w:firstLine="420" w:firstLineChars="200"/>
              <w:rPr>
                <w:color w:val="auto"/>
                <w:highlight w:val="none"/>
              </w:rPr>
            </w:pPr>
            <w:r>
              <w:rPr>
                <w:rFonts w:hint="eastAsia"/>
                <w:color w:val="auto"/>
                <w:highlight w:val="none"/>
              </w:rPr>
              <w:t>在本项目服务中，及时响应可以有效降低项目风险。服务响应速度将作为考核内容，具体包括：</w:t>
            </w:r>
            <w:r>
              <w:rPr>
                <w:color w:val="auto"/>
                <w:highlight w:val="none"/>
              </w:rPr>
              <w:t xml:space="preserve"> </w:t>
            </w:r>
          </w:p>
          <w:p>
            <w:pPr>
              <w:ind w:firstLine="420" w:firstLineChars="200"/>
              <w:rPr>
                <w:color w:val="auto"/>
                <w:highlight w:val="none"/>
              </w:rPr>
            </w:pPr>
            <w:r>
              <w:rPr>
                <w:rFonts w:hint="eastAsia"/>
                <w:color w:val="auto"/>
                <w:highlight w:val="none"/>
              </w:rPr>
              <w:t>（1）反应速度：包括用户反映后响应处理时间、电话接听率等。要求用户反映后响应处理时间≤15分钟，电话接听率达到100%。</w:t>
            </w:r>
          </w:p>
          <w:p>
            <w:pPr>
              <w:ind w:firstLine="420" w:firstLineChars="200"/>
              <w:rPr>
                <w:color w:val="auto"/>
                <w:highlight w:val="none"/>
              </w:rPr>
            </w:pPr>
            <w:r>
              <w:rPr>
                <w:rFonts w:hint="eastAsia"/>
                <w:color w:val="auto"/>
                <w:highlight w:val="none"/>
              </w:rPr>
              <w:t>（2）解决问题时间（非省数字空间原因导致用证系统调用接口问题的）：包括解决问题的时间、处理速度等。要求承诺满足以下标准：</w:t>
            </w:r>
          </w:p>
          <w:tbl>
            <w:tblPr>
              <w:tblStyle w:val="8"/>
              <w:tblW w:w="803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9"/>
              <w:gridCol w:w="3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339"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事件说明</w:t>
                  </w:r>
                </w:p>
              </w:tc>
              <w:tc>
                <w:tcPr>
                  <w:tcW w:w="3691"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解决问题时间指标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339" w:type="dxa"/>
                  <w:vAlign w:val="center"/>
                </w:tcPr>
                <w:p>
                  <w:pPr>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用证系统无法正常使用数字空间或出现大规模系统安全故障，导致用证系统对外业务无法有效开展。</w:t>
                  </w:r>
                </w:p>
              </w:tc>
              <w:tc>
                <w:tcPr>
                  <w:tcW w:w="3691" w:type="dxa"/>
                  <w:vAlign w:val="center"/>
                </w:tcPr>
                <w:p>
                  <w:pPr>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15分钟内响应，1小时内赶赴现场，到达现场后1小时内恢复系统运行。</w:t>
                  </w:r>
                </w:p>
              </w:tc>
            </w:tr>
          </w:tbl>
          <w:p>
            <w:pPr>
              <w:pStyle w:val="10"/>
              <w:spacing w:line="460" w:lineRule="exact"/>
              <w:ind w:firstLine="420"/>
              <w:rPr>
                <w:rFonts w:hint="eastAsia" w:ascii="宋体" w:hAnsi="宋体"/>
                <w:color w:val="auto"/>
                <w:sz w:val="21"/>
                <w:szCs w:val="21"/>
                <w:highlight w:val="none"/>
                <w:lang w:bidi="zh-TW"/>
              </w:rPr>
            </w:pPr>
          </w:p>
          <w:p>
            <w:pPr>
              <w:pStyle w:val="10"/>
              <w:spacing w:line="460" w:lineRule="exact"/>
              <w:ind w:firstLine="0" w:firstLineChars="0"/>
              <w:rPr>
                <w:rFonts w:hint="eastAsia" w:ascii="宋体" w:hAnsi="宋体" w:eastAsiaTheme="minorEastAsia"/>
                <w:color w:val="auto"/>
                <w:sz w:val="21"/>
                <w:szCs w:val="21"/>
                <w:highlight w:val="none"/>
                <w:lang w:eastAsia="zh-CN" w:bidi="zh-TW"/>
              </w:rPr>
            </w:pPr>
            <w:r>
              <w:rPr>
                <w:rFonts w:hint="eastAsia" w:ascii="宋体" w:hAnsi="宋体"/>
                <w:color w:val="auto"/>
                <w:sz w:val="21"/>
                <w:szCs w:val="21"/>
                <w:highlight w:val="none"/>
                <w:lang w:val="en-US" w:eastAsia="zh-CN" w:bidi="zh-TW"/>
              </w:rPr>
              <w:t>8.2</w:t>
            </w:r>
            <w:r>
              <w:rPr>
                <w:rFonts w:hint="eastAsia" w:ascii="宋体" w:hAnsi="宋体"/>
                <w:color w:val="auto"/>
                <w:sz w:val="21"/>
                <w:szCs w:val="21"/>
                <w:highlight w:val="none"/>
                <w:lang w:eastAsia="zh-CN" w:bidi="zh-TW"/>
              </w:rPr>
              <w:t>运维服务工作考核与评价</w:t>
            </w:r>
          </w:p>
          <w:p>
            <w:pPr>
              <w:pStyle w:val="10"/>
              <w:spacing w:line="460" w:lineRule="exact"/>
              <w:ind w:firstLine="420"/>
              <w:rPr>
                <w:rFonts w:hint="eastAsia" w:ascii="宋体" w:hAnsi="宋体"/>
                <w:color w:val="auto"/>
                <w:sz w:val="21"/>
                <w:szCs w:val="21"/>
                <w:highlight w:val="none"/>
                <w:lang w:bidi="zh-TW"/>
              </w:rPr>
            </w:pPr>
            <w:r>
              <w:rPr>
                <w:rFonts w:hint="eastAsia" w:ascii="宋体" w:hAnsi="宋体"/>
                <w:color w:val="auto"/>
                <w:sz w:val="21"/>
                <w:szCs w:val="21"/>
                <w:highlight w:val="none"/>
                <w:lang w:bidi="zh-TW"/>
              </w:rPr>
              <w:t>（1）由采购人成立质量考核小组按《运维服务工作考核表》对</w:t>
            </w:r>
            <w:r>
              <w:rPr>
                <w:rFonts w:hint="eastAsia" w:ascii="宋体" w:hAnsi="宋体"/>
                <w:color w:val="auto"/>
                <w:sz w:val="21"/>
                <w:szCs w:val="21"/>
                <w:highlight w:val="none"/>
                <w:lang w:val="en-US" w:eastAsia="zh-CN" w:bidi="zh-TW"/>
              </w:rPr>
              <w:t>成交供应商</w:t>
            </w:r>
            <w:r>
              <w:rPr>
                <w:rFonts w:hint="eastAsia" w:ascii="宋体" w:hAnsi="宋体"/>
                <w:color w:val="auto"/>
                <w:sz w:val="21"/>
                <w:szCs w:val="21"/>
                <w:highlight w:val="none"/>
                <w:lang w:bidi="zh-TW"/>
              </w:rPr>
              <w:t>服务质量进行考核评分。</w:t>
            </w:r>
          </w:p>
          <w:p>
            <w:pPr>
              <w:pStyle w:val="10"/>
              <w:spacing w:line="460" w:lineRule="exact"/>
              <w:ind w:firstLine="420"/>
              <w:rPr>
                <w:rFonts w:hint="eastAsia" w:ascii="宋体" w:hAnsi="宋体"/>
                <w:color w:val="auto"/>
                <w:sz w:val="21"/>
                <w:szCs w:val="21"/>
                <w:highlight w:val="none"/>
                <w:lang w:bidi="zh-TW"/>
              </w:rPr>
            </w:pPr>
            <w:r>
              <w:rPr>
                <w:rFonts w:hint="eastAsia" w:ascii="宋体" w:hAnsi="宋体"/>
                <w:color w:val="auto"/>
                <w:sz w:val="21"/>
                <w:szCs w:val="21"/>
                <w:highlight w:val="none"/>
                <w:lang w:bidi="zh-TW"/>
              </w:rPr>
              <w:t>（2）项目考核得分为百分制。考核得分与</w:t>
            </w:r>
            <w:r>
              <w:rPr>
                <w:rFonts w:hint="eastAsia" w:ascii="宋体" w:hAnsi="宋体"/>
                <w:color w:val="auto"/>
                <w:sz w:val="21"/>
                <w:szCs w:val="21"/>
                <w:highlight w:val="none"/>
                <w:lang w:val="en-US" w:eastAsia="zh-CN" w:bidi="zh-TW"/>
              </w:rPr>
              <w:t>成交供应商</w:t>
            </w:r>
            <w:r>
              <w:rPr>
                <w:rFonts w:hint="eastAsia" w:ascii="宋体" w:hAnsi="宋体"/>
                <w:color w:val="auto"/>
                <w:sz w:val="21"/>
                <w:szCs w:val="21"/>
                <w:highlight w:val="none"/>
                <w:lang w:bidi="zh-TW"/>
              </w:rPr>
              <w:t>向采购人支付的违约金金额挂钩，运行维护期内每个季度考核一次，并于项目软件系统运行维护期结束后以四个季度的考核平均得分情况由</w:t>
            </w:r>
            <w:r>
              <w:rPr>
                <w:rFonts w:hint="eastAsia" w:ascii="宋体" w:hAnsi="宋体"/>
                <w:color w:val="auto"/>
                <w:sz w:val="21"/>
                <w:szCs w:val="21"/>
                <w:highlight w:val="none"/>
                <w:lang w:val="en-US" w:eastAsia="zh-CN" w:bidi="zh-TW"/>
              </w:rPr>
              <w:t>成交供应商</w:t>
            </w:r>
            <w:r>
              <w:rPr>
                <w:rFonts w:hint="eastAsia" w:ascii="宋体" w:hAnsi="宋体"/>
                <w:color w:val="auto"/>
                <w:sz w:val="21"/>
                <w:szCs w:val="21"/>
                <w:highlight w:val="none"/>
                <w:lang w:bidi="zh-TW"/>
              </w:rPr>
              <w:t>向采购人支付违约金。根据四个季度的考核平均得分情况，如</w:t>
            </w:r>
            <w:r>
              <w:rPr>
                <w:rFonts w:hint="eastAsia" w:ascii="宋体" w:hAnsi="宋体"/>
                <w:color w:val="auto"/>
                <w:sz w:val="21"/>
                <w:szCs w:val="21"/>
                <w:highlight w:val="none"/>
                <w:lang w:val="en-US" w:eastAsia="zh-CN" w:bidi="zh-TW"/>
              </w:rPr>
              <w:t>成交供应商</w:t>
            </w:r>
            <w:r>
              <w:rPr>
                <w:rFonts w:hint="eastAsia" w:ascii="宋体" w:hAnsi="宋体"/>
                <w:color w:val="auto"/>
                <w:sz w:val="21"/>
                <w:szCs w:val="21"/>
                <w:highlight w:val="none"/>
                <w:lang w:bidi="zh-TW"/>
              </w:rPr>
              <w:t>需要向采购人支付违约金的，则</w:t>
            </w:r>
            <w:r>
              <w:rPr>
                <w:rFonts w:hint="eastAsia" w:ascii="宋体" w:hAnsi="宋体"/>
                <w:color w:val="auto"/>
                <w:sz w:val="21"/>
                <w:szCs w:val="21"/>
                <w:highlight w:val="none"/>
                <w:lang w:val="en-US" w:eastAsia="zh-CN" w:bidi="zh-TW"/>
              </w:rPr>
              <w:t>成交供应商</w:t>
            </w:r>
            <w:r>
              <w:rPr>
                <w:rFonts w:hint="eastAsia" w:ascii="宋体" w:hAnsi="宋体"/>
                <w:color w:val="auto"/>
                <w:sz w:val="21"/>
                <w:szCs w:val="21"/>
                <w:highlight w:val="none"/>
                <w:lang w:bidi="zh-TW"/>
              </w:rPr>
              <w:t>应按采购人通知要求限期支付约定比例的违约金，如</w:t>
            </w:r>
            <w:r>
              <w:rPr>
                <w:rFonts w:hint="eastAsia" w:ascii="宋体" w:hAnsi="宋体"/>
                <w:color w:val="auto"/>
                <w:sz w:val="21"/>
                <w:szCs w:val="21"/>
                <w:highlight w:val="none"/>
                <w:lang w:val="en-US" w:eastAsia="zh-CN" w:bidi="zh-TW"/>
              </w:rPr>
              <w:t>成交供应商</w:t>
            </w:r>
            <w:r>
              <w:rPr>
                <w:rFonts w:hint="eastAsia" w:ascii="宋体" w:hAnsi="宋体"/>
                <w:color w:val="auto"/>
                <w:sz w:val="21"/>
                <w:szCs w:val="21"/>
                <w:highlight w:val="none"/>
                <w:lang w:bidi="zh-TW"/>
              </w:rPr>
              <w:t>逾期支付或拒绝支付违约金的，采购人有权向</w:t>
            </w:r>
            <w:r>
              <w:rPr>
                <w:rFonts w:hint="eastAsia" w:ascii="宋体" w:hAnsi="宋体"/>
                <w:color w:val="auto"/>
                <w:sz w:val="21"/>
                <w:szCs w:val="21"/>
                <w:highlight w:val="none"/>
                <w:lang w:val="en-US" w:eastAsia="zh-CN" w:bidi="zh-TW"/>
              </w:rPr>
              <w:t>成交供应商</w:t>
            </w:r>
            <w:r>
              <w:rPr>
                <w:rFonts w:hint="eastAsia" w:ascii="宋体" w:hAnsi="宋体"/>
                <w:color w:val="auto"/>
                <w:sz w:val="21"/>
                <w:szCs w:val="21"/>
                <w:highlight w:val="none"/>
                <w:lang w:bidi="zh-TW"/>
              </w:rPr>
              <w:t>追偿，因此产生的律师费、诉讼费、鉴定费、评估费、诉讼保全申请费、诉讼保全保险费等维权费用均由</w:t>
            </w:r>
            <w:r>
              <w:rPr>
                <w:rFonts w:hint="eastAsia" w:ascii="宋体" w:hAnsi="宋体"/>
                <w:color w:val="auto"/>
                <w:sz w:val="21"/>
                <w:szCs w:val="21"/>
                <w:highlight w:val="none"/>
                <w:lang w:val="en-US" w:eastAsia="zh-CN" w:bidi="zh-TW"/>
              </w:rPr>
              <w:t>成交供应商</w:t>
            </w:r>
            <w:r>
              <w:rPr>
                <w:rFonts w:hint="eastAsia" w:ascii="宋体" w:hAnsi="宋体"/>
                <w:color w:val="auto"/>
                <w:sz w:val="21"/>
                <w:szCs w:val="21"/>
                <w:highlight w:val="none"/>
                <w:lang w:bidi="zh-TW"/>
              </w:rPr>
              <w:t>承担。</w:t>
            </w:r>
          </w:p>
          <w:p>
            <w:pPr>
              <w:pStyle w:val="10"/>
              <w:spacing w:line="460" w:lineRule="exact"/>
              <w:ind w:firstLine="420"/>
              <w:jc w:val="center"/>
              <w:rPr>
                <w:rFonts w:hint="eastAsia" w:ascii="宋体" w:hAnsi="宋体"/>
                <w:b/>
                <w:bCs/>
                <w:color w:val="auto"/>
                <w:sz w:val="21"/>
                <w:szCs w:val="21"/>
                <w:highlight w:val="none"/>
                <w:lang w:bidi="zh-TW"/>
              </w:rPr>
            </w:pPr>
            <w:r>
              <w:rPr>
                <w:rFonts w:hint="eastAsia" w:ascii="宋体" w:hAnsi="宋体"/>
                <w:b/>
                <w:bCs/>
                <w:color w:val="auto"/>
                <w:sz w:val="21"/>
                <w:szCs w:val="21"/>
                <w:highlight w:val="none"/>
                <w:lang w:bidi="zh-TW"/>
              </w:rPr>
              <w:t>《运维服务工作考核表》</w:t>
            </w:r>
          </w:p>
          <w:tbl>
            <w:tblPr>
              <w:tblStyle w:val="7"/>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76"/>
              <w:gridCol w:w="802"/>
              <w:gridCol w:w="923"/>
              <w:gridCol w:w="5309"/>
              <w:gridCol w:w="65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color w:val="auto"/>
                      <w:highlight w:val="none"/>
                    </w:rPr>
                  </w:pPr>
                  <w:r>
                    <w:rPr>
                      <w:color w:val="auto"/>
                      <w:highlight w:val="none"/>
                    </w:rPr>
                    <w:t>序号</w:t>
                  </w:r>
                </w:p>
              </w:tc>
              <w:tc>
                <w:tcPr>
                  <w:tcW w:w="802" w:type="dxa"/>
                  <w:tcBorders>
                    <w:top w:val="single" w:color="000000" w:sz="4" w:space="0"/>
                    <w:bottom w:val="single" w:color="000000" w:sz="4" w:space="0"/>
                    <w:right w:val="single" w:color="000000" w:sz="4" w:space="0"/>
                  </w:tcBorders>
                  <w:shd w:val="clear" w:color="auto" w:fill="D9D9D9"/>
                  <w:vAlign w:val="center"/>
                </w:tcPr>
                <w:p>
                  <w:pPr>
                    <w:jc w:val="center"/>
                    <w:rPr>
                      <w:color w:val="auto"/>
                      <w:highlight w:val="none"/>
                    </w:rPr>
                  </w:pPr>
                  <w:r>
                    <w:rPr>
                      <w:color w:val="auto"/>
                      <w:highlight w:val="none"/>
                    </w:rPr>
                    <w:t>考核</w:t>
                  </w:r>
                </w:p>
                <w:p>
                  <w:pPr>
                    <w:jc w:val="center"/>
                    <w:rPr>
                      <w:color w:val="auto"/>
                      <w:highlight w:val="none"/>
                    </w:rPr>
                  </w:pPr>
                  <w:r>
                    <w:rPr>
                      <w:color w:val="auto"/>
                      <w:highlight w:val="none"/>
                    </w:rPr>
                    <w:t>类别</w:t>
                  </w:r>
                </w:p>
              </w:tc>
              <w:tc>
                <w:tcPr>
                  <w:tcW w:w="923" w:type="dxa"/>
                  <w:tcBorders>
                    <w:top w:val="single" w:color="000000" w:sz="4" w:space="0"/>
                    <w:bottom w:val="single" w:color="000000" w:sz="4" w:space="0"/>
                    <w:right w:val="single" w:color="000000" w:sz="4" w:space="0"/>
                  </w:tcBorders>
                  <w:shd w:val="clear" w:color="auto" w:fill="D9D9D9"/>
                  <w:vAlign w:val="center"/>
                </w:tcPr>
                <w:p>
                  <w:pPr>
                    <w:jc w:val="center"/>
                    <w:rPr>
                      <w:color w:val="auto"/>
                      <w:highlight w:val="none"/>
                    </w:rPr>
                  </w:pPr>
                  <w:r>
                    <w:rPr>
                      <w:color w:val="auto"/>
                      <w:highlight w:val="none"/>
                    </w:rPr>
                    <w:t>考核项目</w:t>
                  </w:r>
                </w:p>
              </w:tc>
              <w:tc>
                <w:tcPr>
                  <w:tcW w:w="5309" w:type="dxa"/>
                  <w:tcBorders>
                    <w:top w:val="single" w:color="000000" w:sz="4" w:space="0"/>
                    <w:bottom w:val="single" w:color="000000" w:sz="4" w:space="0"/>
                    <w:right w:val="single" w:color="000000" w:sz="4" w:space="0"/>
                  </w:tcBorders>
                  <w:shd w:val="clear" w:color="auto" w:fill="D9D9D9"/>
                  <w:vAlign w:val="center"/>
                </w:tcPr>
                <w:p>
                  <w:pPr>
                    <w:jc w:val="center"/>
                    <w:rPr>
                      <w:color w:val="auto"/>
                      <w:highlight w:val="none"/>
                    </w:rPr>
                  </w:pPr>
                  <w:r>
                    <w:rPr>
                      <w:color w:val="auto"/>
                      <w:highlight w:val="none"/>
                    </w:rPr>
                    <w:t>考核内容</w:t>
                  </w:r>
                </w:p>
              </w:tc>
              <w:tc>
                <w:tcPr>
                  <w:tcW w:w="656" w:type="dxa"/>
                  <w:tcBorders>
                    <w:top w:val="single" w:color="000000" w:sz="4" w:space="0"/>
                    <w:bottom w:val="single" w:color="000000" w:sz="4" w:space="0"/>
                    <w:right w:val="single" w:color="000000" w:sz="4" w:space="0"/>
                  </w:tcBorders>
                  <w:shd w:val="clear" w:color="auto" w:fill="D9D9D9"/>
                  <w:vAlign w:val="center"/>
                </w:tcPr>
                <w:p>
                  <w:pPr>
                    <w:jc w:val="center"/>
                    <w:rPr>
                      <w:color w:val="auto"/>
                      <w:highlight w:val="none"/>
                    </w:rPr>
                  </w:pPr>
                  <w:r>
                    <w:rPr>
                      <w:color w:val="auto"/>
                      <w:highlight w:val="none"/>
                    </w:rPr>
                    <w:t>考核扣分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w:t>
                  </w:r>
                </w:p>
              </w:tc>
              <w:tc>
                <w:tcPr>
                  <w:tcW w:w="802" w:type="dxa"/>
                  <w:vMerge w:val="restart"/>
                  <w:tcBorders>
                    <w:bottom w:val="single" w:color="000000" w:sz="4" w:space="0"/>
                    <w:right w:val="single" w:color="000000" w:sz="4" w:space="0"/>
                  </w:tcBorders>
                  <w:vAlign w:val="center"/>
                </w:tcPr>
                <w:p>
                  <w:pPr>
                    <w:jc w:val="center"/>
                    <w:rPr>
                      <w:color w:val="auto"/>
                      <w:highlight w:val="none"/>
                    </w:rPr>
                  </w:pPr>
                  <w:r>
                    <w:rPr>
                      <w:color w:val="auto"/>
                      <w:highlight w:val="none"/>
                    </w:rPr>
                    <w:t>服务人员考核</w:t>
                  </w: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人员岗位设置</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符合要求实际</w:t>
                  </w:r>
                  <w:r>
                    <w:rPr>
                      <w:rFonts w:hint="eastAsia"/>
                      <w:color w:val="auto"/>
                      <w:highlight w:val="none"/>
                    </w:rPr>
                    <w:t>服务团队</w:t>
                  </w:r>
                  <w:r>
                    <w:rPr>
                      <w:color w:val="auto"/>
                      <w:highlight w:val="none"/>
                    </w:rPr>
                    <w:t>人数/合同要求人数，不满足要求人数，每人次扣1分；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人员稳定性</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服务团队人员在服务期间未经甲方许可出现离职更换，在季度考核结果中每人次扣0.5分；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人员工作满意度</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客户投诉每次扣3分，书面警告每次扣2分；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4</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人员业务水平</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考核工程师对业务的熟悉程度、相关知识掌握程度、运维项目保密工作等的考核。出现误操作事件每人次扣2分；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5</w:t>
                  </w:r>
                </w:p>
              </w:tc>
              <w:tc>
                <w:tcPr>
                  <w:tcW w:w="802" w:type="dxa"/>
                  <w:vMerge w:val="restart"/>
                  <w:tcBorders>
                    <w:bottom w:val="single" w:color="000000" w:sz="4" w:space="0"/>
                    <w:right w:val="single" w:color="000000" w:sz="4" w:space="0"/>
                  </w:tcBorders>
                  <w:vAlign w:val="center"/>
                </w:tcPr>
                <w:p>
                  <w:pPr>
                    <w:jc w:val="center"/>
                    <w:rPr>
                      <w:color w:val="auto"/>
                      <w:highlight w:val="none"/>
                    </w:rPr>
                  </w:pPr>
                  <w:r>
                    <w:rPr>
                      <w:color w:val="auto"/>
                      <w:highlight w:val="none"/>
                    </w:rPr>
                    <w:t>日常维护</w:t>
                  </w: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巡检和应急支持</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按要求完成日常运维任务，未按时进行巡检的，扣0.5分/次；未按要求响应支持应急和处理事件的，扣1分/次；</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6</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报告提交情况</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按要求准时提交相关日报、周报、月报、季度报告、重大故障报告等相关报告。违规一次扣0.5分；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7</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软硬件升级</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软硬件升级前没有事先向甲方申请或沟通而造成不良影响的，扣0.5分/次；</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8</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故障处理</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出现故障后没按故障正确的处理流程操作导致重大损失和造成恶劣影响的，扣1分/次；故障报告不及时提交给甲方的（一周内），扣0.5分/次；</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9</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监控管理</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监控产生的告警信息未按时处理的，扣0.5分/次，如由此产生恶劣影响的，扣1分/次；</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10</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功能变更管理</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未经甲方同意私自进行功能变更的，扣1分/次，未按时按质完成功能变更的，扣1分/次；</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11</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安全管理</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违反安全管理制度，人为造成严重、重大故障的，扣1分/次；</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12</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任务管理</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未按时完成其他交办的维护任务的，扣0.5分/项；</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13</w:t>
                  </w:r>
                </w:p>
              </w:tc>
              <w:tc>
                <w:tcPr>
                  <w:tcW w:w="802" w:type="dxa"/>
                  <w:vMerge w:val="restart"/>
                  <w:tcBorders>
                    <w:bottom w:val="single" w:color="000000" w:sz="4" w:space="0"/>
                    <w:right w:val="single" w:color="000000" w:sz="4" w:space="0"/>
                  </w:tcBorders>
                  <w:vAlign w:val="center"/>
                </w:tcPr>
                <w:p>
                  <w:pPr>
                    <w:jc w:val="center"/>
                    <w:rPr>
                      <w:color w:val="auto"/>
                      <w:highlight w:val="none"/>
                    </w:rPr>
                  </w:pPr>
                  <w:r>
                    <w:rPr>
                      <w:color w:val="auto"/>
                      <w:highlight w:val="none"/>
                    </w:rPr>
                    <w:t>运行质量</w:t>
                  </w:r>
                </w:p>
              </w:tc>
              <w:tc>
                <w:tcPr>
                  <w:tcW w:w="923" w:type="dxa"/>
                  <w:vMerge w:val="restart"/>
                  <w:tcBorders>
                    <w:bottom w:val="single" w:color="000000" w:sz="4" w:space="0"/>
                    <w:right w:val="single" w:color="000000" w:sz="4" w:space="0"/>
                  </w:tcBorders>
                  <w:vAlign w:val="center"/>
                </w:tcPr>
                <w:p>
                  <w:pPr>
                    <w:jc w:val="center"/>
                    <w:rPr>
                      <w:color w:val="auto"/>
                      <w:highlight w:val="none"/>
                    </w:rPr>
                  </w:pPr>
                  <w:r>
                    <w:rPr>
                      <w:color w:val="auto"/>
                      <w:highlight w:val="none"/>
                    </w:rPr>
                    <w:t>总体可用率</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软件系统要求&gt;99%（每月不可用时间累计&lt;7小时，每季度不可用时间累计&lt;21小时），每下降0.2%扣1分。此项不包括因网络、硬件问题造成的故障及有计划的系统升级、维护时间；</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14</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vMerge w:val="continue"/>
                  <w:tcBorders>
                    <w:bottom w:val="single" w:color="000000" w:sz="4" w:space="0"/>
                    <w:right w:val="single" w:color="000000" w:sz="4" w:space="0"/>
                  </w:tcBorders>
                  <w:vAlign w:val="center"/>
                </w:tcPr>
                <w:p>
                  <w:pPr>
                    <w:rPr>
                      <w:color w:val="auto"/>
                      <w:highlight w:val="none"/>
                    </w:rPr>
                  </w:pP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硬件要求&gt;99%（每月不可用时间累计&lt;7小时，每季度不可用时间累计&lt;21小时），每下降0.2%扣1分；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15</w:t>
                  </w:r>
                </w:p>
              </w:tc>
              <w:tc>
                <w:tcPr>
                  <w:tcW w:w="802" w:type="dxa"/>
                  <w:vMerge w:val="restart"/>
                  <w:tcBorders>
                    <w:bottom w:val="single" w:color="000000" w:sz="4" w:space="0"/>
                    <w:right w:val="single" w:color="000000" w:sz="4" w:space="0"/>
                  </w:tcBorders>
                  <w:vAlign w:val="center"/>
                </w:tcPr>
                <w:p>
                  <w:pPr>
                    <w:jc w:val="center"/>
                    <w:rPr>
                      <w:color w:val="auto"/>
                      <w:highlight w:val="none"/>
                    </w:rPr>
                  </w:pPr>
                  <w:r>
                    <w:rPr>
                      <w:color w:val="auto"/>
                      <w:highlight w:val="none"/>
                    </w:rPr>
                    <w:t>运维工作产出物质量</w:t>
                  </w: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周期性报告质量</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报告是否简洁清晰、重点突出、分析深入、建议合理</w:t>
                  </w:r>
                  <w:r>
                    <w:rPr>
                      <w:rFonts w:hint="eastAsia"/>
                      <w:color w:val="auto"/>
                      <w:highlight w:val="none"/>
                    </w:rPr>
                    <w:t>，</w:t>
                  </w:r>
                  <w:r>
                    <w:rPr>
                      <w:color w:val="auto"/>
                      <w:highlight w:val="none"/>
                    </w:rPr>
                    <w:t>不合理的报告扣0.5分；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16</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非周期性产出物质量</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如事件解决方案、评估报告、专题报告等，是否简洁清晰、重点突出、分析深入、建议合理。一个事件单不提交事件报告的扣0.5分；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17</w:t>
                  </w:r>
                </w:p>
              </w:tc>
              <w:tc>
                <w:tcPr>
                  <w:tcW w:w="802" w:type="dxa"/>
                  <w:vMerge w:val="restart"/>
                  <w:tcBorders>
                    <w:bottom w:val="single" w:color="000000" w:sz="4" w:space="0"/>
                    <w:right w:val="single" w:color="000000" w:sz="4" w:space="0"/>
                  </w:tcBorders>
                  <w:vAlign w:val="center"/>
                </w:tcPr>
                <w:p>
                  <w:pPr>
                    <w:jc w:val="center"/>
                    <w:rPr>
                      <w:color w:val="auto"/>
                      <w:highlight w:val="none"/>
                    </w:rPr>
                  </w:pPr>
                  <w:r>
                    <w:rPr>
                      <w:color w:val="auto"/>
                      <w:highlight w:val="none"/>
                    </w:rPr>
                    <w:t>响应型服务质量</w:t>
                  </w: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事件响应时间达标率</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达标率低于70%（扣5分）；低于80%（扣4分）；低于90%（扣2分）；低于100%（扣0.5分）；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18</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事件处理时间达标率</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达标率低于70%（扣5分）；低于80%（扣4分）；低于90%（扣2分）；低于100%（扣0.5分）；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19</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事件完成率（已经完成的事件数/事件总数）</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完成率低于70%（扣5分）；低于80%（扣4分）；低于90%（扣2分）；低于100%（扣0.5分）；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20</w:t>
                  </w:r>
                </w:p>
              </w:tc>
              <w:tc>
                <w:tcPr>
                  <w:tcW w:w="802" w:type="dxa"/>
                  <w:vMerge w:val="restart"/>
                  <w:tcBorders>
                    <w:bottom w:val="single" w:color="000000" w:sz="4" w:space="0"/>
                    <w:right w:val="single" w:color="000000" w:sz="4" w:space="0"/>
                  </w:tcBorders>
                  <w:vAlign w:val="center"/>
                </w:tcPr>
                <w:p>
                  <w:pPr>
                    <w:jc w:val="center"/>
                    <w:rPr>
                      <w:color w:val="auto"/>
                      <w:highlight w:val="none"/>
                    </w:rPr>
                  </w:pPr>
                  <w:r>
                    <w:rPr>
                      <w:color w:val="auto"/>
                      <w:highlight w:val="none"/>
                    </w:rPr>
                    <w:t>服务评价</w:t>
                  </w: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数据准确度</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出现某类业务数据不准确的，扣0.5分/项；</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21</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系统可操作性</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由于系统原因，造成操作失效、容易出错，甚至导致终端出现锁死情况的，扣0.5分/项；</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22</w:t>
                  </w:r>
                </w:p>
              </w:tc>
              <w:tc>
                <w:tcPr>
                  <w:tcW w:w="802" w:type="dxa"/>
                  <w:vMerge w:val="continue"/>
                  <w:tcBorders>
                    <w:bottom w:val="single" w:color="000000" w:sz="4" w:space="0"/>
                    <w:right w:val="single" w:color="000000" w:sz="4" w:space="0"/>
                  </w:tcBorders>
                  <w:vAlign w:val="center"/>
                </w:tcPr>
                <w:p>
                  <w:pPr>
                    <w:rPr>
                      <w:color w:val="auto"/>
                      <w:highlight w:val="none"/>
                    </w:rPr>
                  </w:pPr>
                </w:p>
              </w:tc>
              <w:tc>
                <w:tcPr>
                  <w:tcW w:w="923" w:type="dxa"/>
                  <w:tcBorders>
                    <w:bottom w:val="single" w:color="000000" w:sz="4" w:space="0"/>
                    <w:right w:val="single" w:color="000000" w:sz="4" w:space="0"/>
                  </w:tcBorders>
                  <w:vAlign w:val="center"/>
                </w:tcPr>
                <w:p>
                  <w:pPr>
                    <w:jc w:val="center"/>
                    <w:rPr>
                      <w:color w:val="auto"/>
                      <w:highlight w:val="none"/>
                    </w:rPr>
                  </w:pPr>
                  <w:r>
                    <w:rPr>
                      <w:color w:val="auto"/>
                      <w:highlight w:val="none"/>
                    </w:rPr>
                    <w:t>响应速度</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对系统故障处理、业务沟通的响应速度不达标，被投诉的，扣0.5分/次；</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w:t>
                  </w:r>
                  <w:r>
                    <w:rPr>
                      <w:color w:val="auto"/>
                      <w:highlight w:val="none"/>
                    </w:rPr>
                    <w:t>3</w:t>
                  </w:r>
                </w:p>
              </w:tc>
              <w:tc>
                <w:tcPr>
                  <w:tcW w:w="802" w:type="dxa"/>
                  <w:tcBorders>
                    <w:bottom w:val="single" w:color="000000" w:sz="4" w:space="0"/>
                    <w:right w:val="single" w:color="000000" w:sz="4" w:space="0"/>
                  </w:tcBorders>
                  <w:vAlign w:val="center"/>
                </w:tcPr>
                <w:p>
                  <w:pPr>
                    <w:jc w:val="center"/>
                    <w:rPr>
                      <w:color w:val="auto"/>
                      <w:highlight w:val="none"/>
                    </w:rPr>
                  </w:pPr>
                  <w:r>
                    <w:rPr>
                      <w:rFonts w:hint="eastAsia"/>
                      <w:color w:val="auto"/>
                      <w:highlight w:val="none"/>
                    </w:rPr>
                    <w:t>网络安全防护</w:t>
                  </w:r>
                </w:p>
              </w:tc>
              <w:tc>
                <w:tcPr>
                  <w:tcW w:w="923" w:type="dxa"/>
                  <w:tcBorders>
                    <w:bottom w:val="single" w:color="000000" w:sz="4" w:space="0"/>
                    <w:right w:val="single" w:color="000000" w:sz="4" w:space="0"/>
                  </w:tcBorders>
                  <w:vAlign w:val="center"/>
                </w:tcPr>
                <w:p>
                  <w:pPr>
                    <w:jc w:val="center"/>
                    <w:rPr>
                      <w:color w:val="auto"/>
                      <w:highlight w:val="none"/>
                    </w:rPr>
                  </w:pPr>
                  <w:r>
                    <w:rPr>
                      <w:rFonts w:hint="eastAsia" w:asciiTheme="minorEastAsia" w:hAnsiTheme="minorEastAsia"/>
                      <w:color w:val="auto"/>
                      <w:szCs w:val="21"/>
                      <w:highlight w:val="none"/>
                    </w:rPr>
                    <w:t>发生数据安全事件</w:t>
                  </w:r>
                </w:p>
              </w:tc>
              <w:tc>
                <w:tcPr>
                  <w:tcW w:w="5309" w:type="dxa"/>
                  <w:tcBorders>
                    <w:bottom w:val="single" w:color="000000" w:sz="4" w:space="0"/>
                    <w:right w:val="single" w:color="000000" w:sz="4" w:space="0"/>
                  </w:tcBorders>
                </w:tcPr>
                <w:p>
                  <w:pPr>
                    <w:rPr>
                      <w:color w:val="auto"/>
                      <w:highlight w:val="none"/>
                    </w:rPr>
                  </w:pPr>
                  <w:r>
                    <w:rPr>
                      <w:rFonts w:hint="eastAsia" w:asciiTheme="minorEastAsia" w:hAnsiTheme="minorEastAsia"/>
                      <w:color w:val="auto"/>
                      <w:szCs w:val="21"/>
                      <w:highlight w:val="none"/>
                    </w:rPr>
                    <w:t>发生四级数据安全事件，扣5</w:t>
                  </w:r>
                  <w:r>
                    <w:rPr>
                      <w:rFonts w:asciiTheme="minorEastAsia" w:hAnsiTheme="minorEastAsia"/>
                      <w:color w:val="auto"/>
                      <w:szCs w:val="21"/>
                      <w:highlight w:val="none"/>
                    </w:rPr>
                    <w:t>0</w:t>
                  </w:r>
                  <w:r>
                    <w:rPr>
                      <w:rFonts w:hint="eastAsia" w:asciiTheme="minorEastAsia" w:hAnsiTheme="minorEastAsia"/>
                      <w:color w:val="auto"/>
                      <w:szCs w:val="21"/>
                      <w:highlight w:val="none"/>
                    </w:rPr>
                    <w:t>分/次；发生三级数据安全事件，扣</w:t>
                  </w:r>
                  <w:r>
                    <w:rPr>
                      <w:rFonts w:asciiTheme="minorEastAsia" w:hAnsiTheme="minorEastAsia"/>
                      <w:color w:val="auto"/>
                      <w:szCs w:val="21"/>
                      <w:highlight w:val="none"/>
                    </w:rPr>
                    <w:t>30</w:t>
                  </w:r>
                  <w:r>
                    <w:rPr>
                      <w:rFonts w:hint="eastAsia" w:asciiTheme="minorEastAsia" w:hAnsiTheme="minorEastAsia"/>
                      <w:color w:val="auto"/>
                      <w:szCs w:val="21"/>
                      <w:highlight w:val="none"/>
                    </w:rPr>
                    <w:t>分/次；发生二级数据安全事件，扣</w:t>
                  </w:r>
                  <w:r>
                    <w:rPr>
                      <w:rFonts w:asciiTheme="minorEastAsia" w:hAnsiTheme="minorEastAsia"/>
                      <w:color w:val="auto"/>
                      <w:szCs w:val="21"/>
                      <w:highlight w:val="none"/>
                    </w:rPr>
                    <w:t>20</w:t>
                  </w:r>
                  <w:r>
                    <w:rPr>
                      <w:rFonts w:hint="eastAsia" w:asciiTheme="minorEastAsia" w:hAnsiTheme="minorEastAsia"/>
                      <w:color w:val="auto"/>
                      <w:szCs w:val="21"/>
                      <w:highlight w:val="none"/>
                    </w:rPr>
                    <w:t>分/次；发生一级数据安全事件，扣</w:t>
                  </w:r>
                  <w:r>
                    <w:rPr>
                      <w:rFonts w:asciiTheme="minorEastAsia" w:hAnsiTheme="minorEastAsia"/>
                      <w:color w:val="auto"/>
                      <w:szCs w:val="21"/>
                      <w:highlight w:val="none"/>
                    </w:rPr>
                    <w:t>10</w:t>
                  </w:r>
                  <w:r>
                    <w:rPr>
                      <w:rFonts w:hint="eastAsia" w:asciiTheme="minorEastAsia" w:hAnsiTheme="minorEastAsia"/>
                      <w:color w:val="auto"/>
                      <w:szCs w:val="21"/>
                      <w:highlight w:val="none"/>
                    </w:rPr>
                    <w:t>分/次；</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24</w:t>
                  </w:r>
                </w:p>
              </w:tc>
              <w:tc>
                <w:tcPr>
                  <w:tcW w:w="1725" w:type="dxa"/>
                  <w:gridSpan w:val="2"/>
                  <w:tcBorders>
                    <w:bottom w:val="single" w:color="000000" w:sz="4" w:space="0"/>
                    <w:right w:val="single" w:color="000000" w:sz="4" w:space="0"/>
                  </w:tcBorders>
                  <w:vAlign w:val="center"/>
                </w:tcPr>
                <w:p>
                  <w:pPr>
                    <w:jc w:val="center"/>
                    <w:rPr>
                      <w:color w:val="auto"/>
                      <w:highlight w:val="none"/>
                    </w:rPr>
                  </w:pPr>
                  <w:r>
                    <w:rPr>
                      <w:color w:val="auto"/>
                      <w:highlight w:val="none"/>
                    </w:rPr>
                    <w:t>加分项</w:t>
                  </w:r>
                </w:p>
              </w:tc>
              <w:tc>
                <w:tcPr>
                  <w:tcW w:w="5309" w:type="dxa"/>
                  <w:tcBorders>
                    <w:bottom w:val="single" w:color="000000" w:sz="4" w:space="0"/>
                    <w:right w:val="single" w:color="000000" w:sz="4" w:space="0"/>
                  </w:tcBorders>
                  <w:vAlign w:val="center"/>
                </w:tcPr>
                <w:p>
                  <w:pPr>
                    <w:rPr>
                      <w:color w:val="auto"/>
                      <w:highlight w:val="none"/>
                    </w:rPr>
                  </w:pPr>
                  <w:r>
                    <w:rPr>
                      <w:color w:val="auto"/>
                      <w:highlight w:val="none"/>
                    </w:rPr>
                    <w:t>乙方配合甲方工作，获得甲方表扬，甲方可酌情加分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6" w:type="dxa"/>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25</w:t>
                  </w:r>
                </w:p>
              </w:tc>
              <w:tc>
                <w:tcPr>
                  <w:tcW w:w="7034" w:type="dxa"/>
                  <w:gridSpan w:val="3"/>
                  <w:tcBorders>
                    <w:bottom w:val="single" w:color="000000" w:sz="4" w:space="0"/>
                    <w:right w:val="single" w:color="000000" w:sz="4" w:space="0"/>
                  </w:tcBorders>
                  <w:vAlign w:val="center"/>
                </w:tcPr>
                <w:p>
                  <w:pPr>
                    <w:rPr>
                      <w:color w:val="auto"/>
                      <w:highlight w:val="none"/>
                    </w:rPr>
                  </w:pPr>
                  <w:r>
                    <w:rPr>
                      <w:color w:val="auto"/>
                      <w:highlight w:val="none"/>
                    </w:rPr>
                    <w:t>总分（100分）</w:t>
                  </w:r>
                </w:p>
              </w:tc>
              <w:tc>
                <w:tcPr>
                  <w:tcW w:w="656" w:type="dxa"/>
                  <w:tcBorders>
                    <w:bottom w:val="single" w:color="000000" w:sz="4" w:space="0"/>
                    <w:right w:val="single" w:color="000000" w:sz="4" w:space="0"/>
                  </w:tcBorders>
                  <w:vAlign w:val="center"/>
                </w:tcPr>
                <w:p>
                  <w:pP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6" w:type="dxa"/>
                  <w:gridSpan w:val="5"/>
                  <w:tcBorders>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w:t>
                  </w:r>
                  <w:r>
                    <w:rPr>
                      <w:color w:val="auto"/>
                      <w:highlight w:val="none"/>
                    </w:rPr>
                    <w:t>.</w:t>
                  </w:r>
                  <w:r>
                    <w:rPr>
                      <w:rFonts w:hint="eastAsia"/>
                      <w:color w:val="auto"/>
                      <w:highlight w:val="none"/>
                    </w:rPr>
                    <w:t>四个季度的考核平均得分90（含）-100分以上为优秀，乙方无需向甲方支付违约金；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6" w:type="dxa"/>
                  <w:gridSpan w:val="5"/>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w:t>
                  </w:r>
                  <w:r>
                    <w:rPr>
                      <w:rFonts w:hint="eastAsia"/>
                      <w:color w:val="auto"/>
                      <w:highlight w:val="none"/>
                    </w:rPr>
                    <w:t>四个季度的考核平均得分80（含）-90分为良好，乙方向甲方支付合同总金额3%的违约金（其中所产生的费用均由乙方承担）</w:t>
                  </w:r>
                  <w:r>
                    <w:rPr>
                      <w:color w:val="auto"/>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6" w:type="dxa"/>
                  <w:gridSpan w:val="5"/>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r>
                    <w:rPr>
                      <w:rFonts w:hint="eastAsia"/>
                      <w:color w:val="auto"/>
                      <w:highlight w:val="none"/>
                    </w:rPr>
                    <w:t>四个季度的考核平均得分70（含）-80分为较好，乙方向甲方支付合同总金额5%的违约金（其中所产生的费用均由乙方承担）</w:t>
                  </w:r>
                  <w:r>
                    <w:rPr>
                      <w:color w:val="auto"/>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6" w:type="dxa"/>
                  <w:gridSpan w:val="5"/>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4.</w:t>
                  </w:r>
                  <w:r>
                    <w:rPr>
                      <w:rFonts w:hint="eastAsia"/>
                      <w:color w:val="auto"/>
                      <w:highlight w:val="none"/>
                    </w:rPr>
                    <w:t>四个季度的考核平均得分60（含）-70分为合格，乙方向甲方支付合同总金额8%的违约金（其中所产生的费用均由乙方承担）</w:t>
                  </w:r>
                  <w:r>
                    <w:rPr>
                      <w:color w:val="auto"/>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6" w:type="dxa"/>
                  <w:gridSpan w:val="5"/>
                  <w:tcBorders>
                    <w:left w:val="single" w:color="000000" w:sz="4" w:space="0"/>
                    <w:bottom w:val="single" w:color="000000" w:sz="4" w:space="0"/>
                    <w:right w:val="single" w:color="000000" w:sz="4" w:space="0"/>
                  </w:tcBorders>
                  <w:vAlign w:val="center"/>
                </w:tcPr>
                <w:p>
                  <w:pPr>
                    <w:rPr>
                      <w:color w:val="auto"/>
                      <w:highlight w:val="none"/>
                    </w:rPr>
                  </w:pPr>
                  <w:r>
                    <w:rPr>
                      <w:color w:val="auto"/>
                      <w:highlight w:val="none"/>
                    </w:rPr>
                    <w:t>5.</w:t>
                  </w:r>
                  <w:r>
                    <w:rPr>
                      <w:rFonts w:hint="eastAsia"/>
                      <w:color w:val="auto"/>
                      <w:highlight w:val="none"/>
                    </w:rPr>
                    <w:t>存在廉政问题及四个季度的考核平均得分60分以下判定为不合格，乙方向甲方支付合同总金额10%的违约金（其中所产生的费用均由乙方承担）</w:t>
                  </w:r>
                  <w:r>
                    <w:rPr>
                      <w:color w:val="auto"/>
                      <w:highlight w:val="none"/>
                    </w:rPr>
                    <w:t>。</w:t>
                  </w:r>
                </w:p>
              </w:tc>
            </w:tr>
          </w:tbl>
          <w:p>
            <w:pPr>
              <w:rPr>
                <w:color w:val="auto"/>
                <w:highlight w:val="none"/>
              </w:rPr>
            </w:pPr>
          </w:p>
          <w:p>
            <w:pPr>
              <w:pStyle w:val="2"/>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4" w:hRule="atLeast"/>
        </w:trPr>
        <w:tc>
          <w:tcPr>
            <w:tcW w:w="426" w:type="dxa"/>
          </w:tcPr>
          <w:p>
            <w:pPr>
              <w:rPr>
                <w:color w:val="auto"/>
                <w:highlight w:val="none"/>
              </w:rPr>
            </w:pPr>
          </w:p>
        </w:tc>
        <w:tc>
          <w:tcPr>
            <w:tcW w:w="654" w:type="dxa"/>
          </w:tcPr>
          <w:p>
            <w:pPr>
              <w:rPr>
                <w:color w:val="auto"/>
                <w:highlight w:val="none"/>
              </w:rPr>
            </w:pPr>
            <w:r>
              <w:rPr>
                <w:rFonts w:hint="eastAsia"/>
                <w:color w:val="auto"/>
                <w:highlight w:val="none"/>
              </w:rPr>
              <w:t>9</w:t>
            </w:r>
          </w:p>
        </w:tc>
        <w:tc>
          <w:tcPr>
            <w:tcW w:w="8281" w:type="dxa"/>
          </w:tcPr>
          <w:p>
            <w:pPr>
              <w:rPr>
                <w:b/>
                <w:bCs/>
                <w:color w:val="auto"/>
                <w:highlight w:val="none"/>
              </w:rPr>
            </w:pPr>
            <w:r>
              <w:rPr>
                <w:rFonts w:hint="eastAsia"/>
                <w:b/>
                <w:bCs/>
                <w:color w:val="auto"/>
                <w:highlight w:val="none"/>
              </w:rPr>
              <w:t>9报价要求</w:t>
            </w:r>
          </w:p>
          <w:p>
            <w:pPr>
              <w:ind w:firstLine="420" w:firstLineChars="200"/>
              <w:rPr>
                <w:color w:val="auto"/>
                <w:highlight w:val="none"/>
              </w:rPr>
            </w:pPr>
            <w:r>
              <w:rPr>
                <w:rFonts w:hint="eastAsia"/>
                <w:color w:val="auto"/>
                <w:highlight w:val="none"/>
              </w:rPr>
              <w:t>本项目采用总价方式报价，</w:t>
            </w:r>
            <w:r>
              <w:rPr>
                <w:rFonts w:hint="eastAsia" w:asciiTheme="minorEastAsia" w:hAnsiTheme="minorEastAsia"/>
                <w:color w:val="auto"/>
                <w:highlight w:val="none"/>
                <w:lang w:val="en-US" w:eastAsia="zh-CN"/>
              </w:rPr>
              <w:t>供应商</w:t>
            </w:r>
            <w:r>
              <w:rPr>
                <w:rFonts w:hint="eastAsia"/>
                <w:color w:val="auto"/>
                <w:highlight w:val="none"/>
              </w:rPr>
              <w:t>另须提供分项报价表或在项目实施方案中提供分项报价明细，具体内容包括：</w:t>
            </w:r>
          </w:p>
          <w:p>
            <w:pPr>
              <w:rPr>
                <w:color w:val="auto"/>
                <w:highlight w:val="none"/>
              </w:rPr>
            </w:pPr>
            <w:r>
              <w:rPr>
                <w:rFonts w:hint="eastAsia"/>
                <w:color w:val="auto"/>
                <w:highlight w:val="none"/>
              </w:rPr>
              <w:t xml:space="preserve">（注：报价应包含货物的产品价款、相关配件附件及零件价、物料购置费、包装费、运输费、保险费、安装调试费、测试验收费、相关技术指导与人员培训费、技术服务费及质保期内的维护费等所有可预见及不可预见的一切费用，费用包含系统运行维护期。）  </w:t>
            </w:r>
          </w:p>
          <w:tbl>
            <w:tblPr>
              <w:tblStyle w:val="7"/>
              <w:tblW w:w="7658" w:type="dxa"/>
              <w:tblInd w:w="0" w:type="dxa"/>
              <w:tblLayout w:type="fixed"/>
              <w:tblCellMar>
                <w:top w:w="0" w:type="dxa"/>
                <w:left w:w="108" w:type="dxa"/>
                <w:bottom w:w="0" w:type="dxa"/>
                <w:right w:w="108" w:type="dxa"/>
              </w:tblCellMar>
            </w:tblPr>
            <w:tblGrid>
              <w:gridCol w:w="426"/>
              <w:gridCol w:w="2044"/>
              <w:gridCol w:w="2963"/>
              <w:gridCol w:w="1134"/>
              <w:gridCol w:w="1091"/>
            </w:tblGrid>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334" w:type="pct"/>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系统名称</w:t>
                  </w:r>
                </w:p>
              </w:tc>
              <w:tc>
                <w:tcPr>
                  <w:tcW w:w="193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服务类型</w:t>
                  </w:r>
                </w:p>
              </w:tc>
              <w:tc>
                <w:tcPr>
                  <w:tcW w:w="740"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val="en-US" w:eastAsia="zh-CN" w:bidi="ar"/>
                    </w:rPr>
                    <w:t>分项上限价</w:t>
                  </w:r>
                  <w:r>
                    <w:rPr>
                      <w:rFonts w:hint="eastAsia" w:ascii="宋体" w:hAnsi="宋体" w:eastAsia="宋体" w:cs="宋体"/>
                      <w:b/>
                      <w:bCs/>
                      <w:color w:val="auto"/>
                      <w:kern w:val="0"/>
                      <w:szCs w:val="21"/>
                      <w:highlight w:val="none"/>
                      <w:lang w:bidi="ar"/>
                    </w:rPr>
                    <w:t>（万元）</w:t>
                  </w:r>
                </w:p>
              </w:tc>
              <w:tc>
                <w:tcPr>
                  <w:tcW w:w="712"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val="en-US" w:eastAsia="zh-CN" w:bidi="ar"/>
                    </w:rPr>
                    <w:t>报价（万元）</w:t>
                  </w:r>
                </w:p>
              </w:tc>
            </w:tr>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中山市商事登记全程电子化智能申报审批平台</w:t>
                  </w: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省“数字空间”接入服务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3.96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三级等保整改服务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23.76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中山市一照通行服务平台</w:t>
                  </w: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省“数字空间”接入服务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3.96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三级等保整改服务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49.30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中山市住房和城乡建设管理信息系统</w:t>
                  </w: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省“数字空间”接入服务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7.92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三级等保整改服务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13.44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新一代住房公积金管理系统</w:t>
                  </w: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省“数字空间”接入服务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7.92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中山市公共资源交易平台</w:t>
                  </w: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省“数字空间”接入服务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6.60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5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公共服务网上自助申报系统</w:t>
                  </w: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省“数字空间”接入服务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3.96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64"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19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三级等保整改服务</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 xml:space="preserve">10.61 </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r>
              <w:tblPrEx>
                <w:tblCellMar>
                  <w:top w:w="0" w:type="dxa"/>
                  <w:left w:w="108" w:type="dxa"/>
                  <w:bottom w:w="0" w:type="dxa"/>
                  <w:right w:w="108" w:type="dxa"/>
                </w:tblCellMar>
              </w:tblPrEx>
              <w:trPr>
                <w:trHeight w:val="264" w:hRule="atLeast"/>
              </w:trPr>
              <w:tc>
                <w:tcPr>
                  <w:tcW w:w="3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合计（万元）</w:t>
                  </w:r>
                </w:p>
              </w:tc>
              <w:tc>
                <w:tcPr>
                  <w:tcW w:w="7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131.42</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宋体" w:hAnsi="宋体" w:eastAsia="宋体" w:cs="宋体"/>
                      <w:color w:val="auto"/>
                      <w:kern w:val="0"/>
                      <w:szCs w:val="21"/>
                      <w:highlight w:val="none"/>
                      <w:lang w:bidi="ar"/>
                    </w:rPr>
                  </w:pPr>
                </w:p>
              </w:tc>
            </w:tr>
          </w:tbl>
          <w:p>
            <w:pPr>
              <w:rPr>
                <w:rFonts w:hint="eastAsia"/>
                <w:color w:val="auto"/>
                <w:highlight w:val="none"/>
                <w:lang w:eastAsia="zh-CN"/>
              </w:rPr>
            </w:pPr>
          </w:p>
          <w:p>
            <w:pPr>
              <w:rPr>
                <w:rFonts w:hint="eastAsia" w:eastAsiaTheme="minorEastAsia"/>
                <w:color w:val="auto"/>
                <w:highlight w:val="none"/>
                <w:lang w:eastAsia="zh-CN"/>
              </w:rPr>
            </w:pPr>
            <w:r>
              <w:rPr>
                <w:rFonts w:hint="eastAsia" w:asciiTheme="minorEastAsia" w:hAnsiTheme="minorEastAsia"/>
                <w:color w:val="auto"/>
                <w:highlight w:val="none"/>
                <w:lang w:val="en-US" w:eastAsia="zh-CN"/>
              </w:rPr>
              <w:t>供应商</w:t>
            </w:r>
            <w:r>
              <w:rPr>
                <w:rFonts w:hint="eastAsia"/>
                <w:color w:val="auto"/>
                <w:highlight w:val="none"/>
                <w:lang w:eastAsia="zh-CN"/>
              </w:rPr>
              <w:t>须在报价文件中按上述“系统名称”及“服务类型”的各项进行详细的分项报价。每一</w:t>
            </w:r>
            <w:r>
              <w:rPr>
                <w:rFonts w:hint="eastAsia"/>
                <w:color w:val="auto"/>
                <w:highlight w:val="none"/>
                <w:lang w:val="en-US" w:eastAsia="zh-CN"/>
              </w:rPr>
              <w:t>个</w:t>
            </w:r>
            <w:r>
              <w:rPr>
                <w:rFonts w:hint="eastAsia"/>
                <w:color w:val="auto"/>
                <w:highlight w:val="none"/>
                <w:lang w:eastAsia="zh-CN"/>
              </w:rPr>
              <w:t>分项报价均不能超过分项上限价，否则将被视为无效报价。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24" w:hRule="atLeast"/>
        </w:trPr>
        <w:tc>
          <w:tcPr>
            <w:tcW w:w="426" w:type="dxa"/>
          </w:tcPr>
          <w:p>
            <w:pPr>
              <w:rPr>
                <w:color w:val="auto"/>
                <w:highlight w:val="none"/>
              </w:rPr>
            </w:pPr>
          </w:p>
        </w:tc>
        <w:tc>
          <w:tcPr>
            <w:tcW w:w="654" w:type="dxa"/>
          </w:tcPr>
          <w:p>
            <w:pPr>
              <w:rPr>
                <w:color w:val="auto"/>
                <w:highlight w:val="none"/>
              </w:rPr>
            </w:pPr>
            <w:r>
              <w:rPr>
                <w:rFonts w:hint="eastAsia"/>
                <w:color w:val="auto"/>
                <w:highlight w:val="none"/>
              </w:rPr>
              <w:t>10</w:t>
            </w:r>
          </w:p>
        </w:tc>
        <w:tc>
          <w:tcPr>
            <w:tcW w:w="8281" w:type="dxa"/>
          </w:tcPr>
          <w:p>
            <w:pPr>
              <w:rPr>
                <w:b/>
                <w:color w:val="auto"/>
                <w:highlight w:val="none"/>
              </w:rPr>
            </w:pPr>
            <w:r>
              <w:rPr>
                <w:rFonts w:hint="eastAsia"/>
                <w:b/>
                <w:color w:val="auto"/>
                <w:highlight w:val="none"/>
              </w:rPr>
              <w:t>10保密要求</w:t>
            </w:r>
          </w:p>
          <w:p>
            <w:pPr>
              <w:ind w:firstLine="420" w:firstLineChars="200"/>
              <w:rPr>
                <w:color w:val="auto"/>
                <w:highlight w:val="none"/>
              </w:rPr>
            </w:pPr>
            <w:r>
              <w:rPr>
                <w:rFonts w:hint="eastAsia"/>
                <w:color w:val="auto"/>
                <w:highlight w:val="none"/>
              </w:rPr>
              <w:t>（1）成交供应商必须如约承担合同履行时所应该尽的一切保密义务。成交供应商及其参与本项目的所有工作人员均须对采购人信息、项目实施过程中的资料、数据进行保密，未经采购人书面同意不得泄露给第三方，否则，采购人保留追究成交供应商法律责任的权利。保密责任不因合同的终止或解除而失效。</w:t>
            </w:r>
          </w:p>
          <w:p>
            <w:pPr>
              <w:ind w:firstLine="420" w:firstLineChars="200"/>
              <w:rPr>
                <w:color w:val="auto"/>
                <w:highlight w:val="none"/>
              </w:rPr>
            </w:pPr>
            <w:r>
              <w:rPr>
                <w:rFonts w:hint="eastAsia"/>
                <w:color w:val="auto"/>
                <w:highlight w:val="none"/>
              </w:rPr>
              <w:t>（2）与本项目有关采购人的信息、项目实施过程中的资料、数据等所有资料（包括但不限于文字、图片、声像资料、电子数据等）均属采购人所有，成交供应商及其参与本项目的所有工作人员在本合同有效期内或相关信息资料被公众所知悉前，不得泄露，也不得超越本项目实施范围使用，成交供应商及其参与本项目的所有工作人员依据本合同所完成的全部技术成果的知识产权属采购人所有。由采购人收集的、开发的、整理的、复制的、研究的和准备的与本合同项下工作有关的所有资料在提供给成交供应商时，均被视为保密内容；成交供应商不得以任何方式泄漏给与本项目实施无关的任何自然人、企业或公司等任何第三方，不管本合同因何种原因终止，均不影响本条款的有效性及对双方的约束力，至保密内容公开或被公众知悉时止。</w:t>
            </w:r>
          </w:p>
          <w:p>
            <w:pPr>
              <w:ind w:firstLine="420" w:firstLineChars="200"/>
              <w:rPr>
                <w:color w:val="auto"/>
                <w:highlight w:val="none"/>
              </w:rPr>
            </w:pPr>
            <w:r>
              <w:rPr>
                <w:rFonts w:hint="eastAsia"/>
                <w:color w:val="auto"/>
                <w:highlight w:val="none"/>
              </w:rPr>
              <w:t>（3）成交供应商应与采购人签署《保密协议》，成交供应商对成交供应商人员的保密义务承担连带责任。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pPr>
              <w:rPr>
                <w:color w:val="auto"/>
                <w:highlight w:val="none"/>
              </w:rPr>
            </w:pPr>
          </w:p>
        </w:tc>
        <w:tc>
          <w:tcPr>
            <w:tcW w:w="654" w:type="dxa"/>
          </w:tcPr>
          <w:p>
            <w:pPr>
              <w:rPr>
                <w:color w:val="auto"/>
                <w:highlight w:val="none"/>
              </w:rPr>
            </w:pPr>
            <w:r>
              <w:rPr>
                <w:rFonts w:hint="eastAsia"/>
                <w:color w:val="auto"/>
                <w:highlight w:val="none"/>
              </w:rPr>
              <w:t>11</w:t>
            </w:r>
          </w:p>
        </w:tc>
        <w:tc>
          <w:tcPr>
            <w:tcW w:w="8281" w:type="dxa"/>
          </w:tcPr>
          <w:p>
            <w:pPr>
              <w:rPr>
                <w:rFonts w:ascii="宋体" w:hAnsi="宋体" w:eastAsia="宋体" w:cs="宋体"/>
                <w:b/>
                <w:color w:val="auto"/>
                <w:szCs w:val="21"/>
                <w:highlight w:val="none"/>
              </w:rPr>
            </w:pPr>
            <w:r>
              <w:rPr>
                <w:rFonts w:hint="eastAsia" w:ascii="宋体" w:hAnsi="宋体" w:eastAsia="宋体" w:cs="宋体"/>
                <w:b/>
                <w:color w:val="auto"/>
                <w:szCs w:val="21"/>
                <w:highlight w:val="none"/>
              </w:rPr>
              <w:t>11培训要求</w:t>
            </w:r>
          </w:p>
          <w:p>
            <w:pPr>
              <w:ind w:firstLine="420" w:firstLineChars="200"/>
              <w:rPr>
                <w:color w:val="auto"/>
                <w:highlight w:val="none"/>
              </w:rPr>
            </w:pPr>
            <w:r>
              <w:rPr>
                <w:rFonts w:hint="eastAsia"/>
                <w:color w:val="auto"/>
                <w:highlight w:val="none"/>
              </w:rPr>
              <w:t>（1）培训目的</w:t>
            </w:r>
          </w:p>
          <w:p>
            <w:pPr>
              <w:ind w:firstLine="420" w:firstLineChars="200"/>
              <w:rPr>
                <w:color w:val="auto"/>
                <w:highlight w:val="none"/>
              </w:rPr>
            </w:pPr>
            <w:r>
              <w:rPr>
                <w:rFonts w:hint="eastAsia"/>
                <w:color w:val="auto"/>
                <w:highlight w:val="none"/>
              </w:rPr>
              <w:t>通过项目培训，使相关业务系统的工作人员能熟练使用本项目所涉及政务用证系统对接省“数字空间”的各项功能。</w:t>
            </w:r>
          </w:p>
          <w:p>
            <w:pPr>
              <w:ind w:firstLine="420" w:firstLineChars="200"/>
              <w:rPr>
                <w:color w:val="auto"/>
                <w:highlight w:val="none"/>
              </w:rPr>
            </w:pPr>
            <w:r>
              <w:rPr>
                <w:rFonts w:hint="eastAsia"/>
                <w:color w:val="auto"/>
                <w:highlight w:val="none"/>
              </w:rPr>
              <w:t>（2）培训内容</w:t>
            </w:r>
          </w:p>
          <w:tbl>
            <w:tblPr>
              <w:tblStyle w:val="11"/>
              <w:tblW w:w="485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3510"/>
              <w:gridCol w:w="3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42" w:type="pct"/>
                  <w:tcBorders>
                    <w:top w:val="single" w:color="000000" w:sz="2" w:space="0"/>
                    <w:bottom w:val="single" w:color="000000" w:sz="2" w:space="0"/>
                  </w:tcBorders>
                  <w:vAlign w:val="center"/>
                </w:tcPr>
                <w:p>
                  <w:pPr>
                    <w:pStyle w:val="5"/>
                    <w:spacing w:before="156" w:after="156"/>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44" w:type="pct"/>
                  <w:tcBorders>
                    <w:top w:val="single" w:color="000000" w:sz="2" w:space="0"/>
                    <w:bottom w:val="single" w:color="000000" w:sz="2" w:space="0"/>
                  </w:tcBorders>
                  <w:vAlign w:val="center"/>
                </w:tcPr>
                <w:p>
                  <w:pPr>
                    <w:pStyle w:val="5"/>
                    <w:spacing w:before="156" w:after="156"/>
                    <w:ind w:left="82"/>
                    <w:jc w:val="center"/>
                    <w:rPr>
                      <w:rFonts w:ascii="宋体" w:hAnsi="宋体" w:eastAsia="宋体" w:cs="宋体"/>
                      <w:color w:val="auto"/>
                      <w:szCs w:val="21"/>
                      <w:highlight w:val="none"/>
                    </w:rPr>
                  </w:pPr>
                  <w:r>
                    <w:rPr>
                      <w:rFonts w:hint="eastAsia" w:ascii="宋体" w:hAnsi="宋体" w:eastAsia="宋体" w:cs="宋体"/>
                      <w:color w:val="auto"/>
                      <w:szCs w:val="21"/>
                      <w:highlight w:val="none"/>
                    </w:rPr>
                    <w:t>培训项目</w:t>
                  </w:r>
                </w:p>
              </w:tc>
              <w:tc>
                <w:tcPr>
                  <w:tcW w:w="2212" w:type="pct"/>
                  <w:tcBorders>
                    <w:top w:val="single" w:color="000000" w:sz="2" w:space="0"/>
                    <w:bottom w:val="single" w:color="000000" w:sz="2" w:space="0"/>
                  </w:tcBorders>
                  <w:vAlign w:val="center"/>
                </w:tcPr>
                <w:p>
                  <w:pPr>
                    <w:pStyle w:val="5"/>
                    <w:spacing w:before="156" w:after="156"/>
                    <w:ind w:left="86"/>
                    <w:jc w:val="center"/>
                    <w:rPr>
                      <w:rFonts w:ascii="宋体" w:hAnsi="宋体" w:eastAsia="宋体" w:cs="宋体"/>
                      <w:color w:val="auto"/>
                      <w:szCs w:val="21"/>
                      <w:highlight w:val="none"/>
                    </w:rPr>
                  </w:pPr>
                  <w:r>
                    <w:rPr>
                      <w:rFonts w:hint="eastAsia" w:ascii="宋体" w:hAnsi="宋体" w:eastAsia="宋体" w:cs="宋体"/>
                      <w:color w:val="auto"/>
                      <w:szCs w:val="21"/>
                      <w:highlight w:val="none"/>
                    </w:rPr>
                    <w:t>培训内容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542" w:type="pct"/>
                  <w:tcBorders>
                    <w:top w:val="single" w:color="000000" w:sz="2" w:space="0"/>
                    <w:bottom w:val="single" w:color="000000" w:sz="2" w:space="0"/>
                  </w:tcBorders>
                  <w:vAlign w:val="center"/>
                </w:tcPr>
                <w:p>
                  <w:pPr>
                    <w:pStyle w:val="5"/>
                    <w:spacing w:before="156" w:after="156"/>
                    <w:ind w:left="104"/>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44" w:type="pct"/>
                  <w:tcBorders>
                    <w:top w:val="single" w:color="000000" w:sz="2" w:space="0"/>
                    <w:bottom w:val="single" w:color="000000" w:sz="2" w:space="0"/>
                  </w:tcBorders>
                  <w:vAlign w:val="center"/>
                </w:tcPr>
                <w:p>
                  <w:pPr>
                    <w:pStyle w:val="5"/>
                    <w:spacing w:before="156" w:after="156"/>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中山市政务用证系统对接省“数字空间”及等保升级整改服务项目</w:t>
                  </w:r>
                </w:p>
              </w:tc>
              <w:tc>
                <w:tcPr>
                  <w:tcW w:w="2212" w:type="pct"/>
                  <w:tcBorders>
                    <w:top w:val="single" w:color="000000" w:sz="2" w:space="0"/>
                    <w:bottom w:val="single" w:color="000000" w:sz="2" w:space="0"/>
                  </w:tcBorders>
                  <w:vAlign w:val="center"/>
                </w:tcPr>
                <w:p>
                  <w:pPr>
                    <w:pStyle w:val="5"/>
                    <w:spacing w:before="156" w:after="156"/>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本项目内中山市政务用证系统的技术培训、系统操作。</w:t>
                  </w:r>
                </w:p>
              </w:tc>
            </w:tr>
          </w:tbl>
          <w:p>
            <w:pPr>
              <w:ind w:firstLine="420" w:firstLineChars="200"/>
              <w:rPr>
                <w:color w:val="auto"/>
                <w:highlight w:val="none"/>
              </w:rPr>
            </w:pPr>
            <w:r>
              <w:rPr>
                <w:rFonts w:hint="eastAsia"/>
                <w:color w:val="auto"/>
                <w:highlight w:val="none"/>
              </w:rPr>
              <w:t>（3）培训地点：项目相关指定地点。</w:t>
            </w:r>
          </w:p>
          <w:p>
            <w:pPr>
              <w:ind w:firstLine="420" w:firstLineChars="200"/>
              <w:rPr>
                <w:color w:val="auto"/>
                <w:highlight w:val="none"/>
              </w:rPr>
            </w:pPr>
            <w:r>
              <w:rPr>
                <w:rFonts w:hint="eastAsia"/>
                <w:color w:val="auto"/>
                <w:highlight w:val="none"/>
              </w:rPr>
              <w:t>（4）培训方式：项目培训（集中授课培训）、实践培训、现场培训。</w:t>
            </w:r>
          </w:p>
          <w:p>
            <w:pPr>
              <w:ind w:firstLine="420" w:firstLineChars="200"/>
              <w:rPr>
                <w:color w:val="auto"/>
                <w:highlight w:val="none"/>
              </w:rPr>
            </w:pPr>
            <w:r>
              <w:rPr>
                <w:rFonts w:hint="eastAsia"/>
                <w:color w:val="auto"/>
                <w:highlight w:val="none"/>
              </w:rPr>
              <w:t>（5）培训时间及次数</w:t>
            </w:r>
            <w:r>
              <w:rPr>
                <w:rFonts w:hint="eastAsia"/>
                <w:color w:val="auto"/>
                <w:highlight w:val="none"/>
                <w:lang w:eastAsia="zh-CN"/>
              </w:rPr>
              <w:t>（不少于</w:t>
            </w:r>
            <w:r>
              <w:rPr>
                <w:rFonts w:hint="eastAsia"/>
                <w:color w:val="auto"/>
                <w:highlight w:val="none"/>
                <w:lang w:val="en-US" w:eastAsia="zh-CN"/>
              </w:rPr>
              <w:t>2次</w:t>
            </w:r>
            <w:r>
              <w:rPr>
                <w:rFonts w:hint="eastAsia"/>
                <w:color w:val="auto"/>
                <w:highlight w:val="none"/>
                <w:lang w:eastAsia="zh-CN"/>
              </w:rPr>
              <w:t>）</w:t>
            </w:r>
            <w:r>
              <w:rPr>
                <w:rFonts w:hint="eastAsia"/>
                <w:color w:val="auto"/>
                <w:highlight w:val="none"/>
              </w:rPr>
              <w:t>由采购人指定。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pPr>
              <w:rPr>
                <w:color w:val="auto"/>
                <w:highlight w:val="none"/>
              </w:rPr>
            </w:pPr>
          </w:p>
        </w:tc>
        <w:tc>
          <w:tcPr>
            <w:tcW w:w="654" w:type="dxa"/>
          </w:tcPr>
          <w:p>
            <w:pPr>
              <w:rPr>
                <w:color w:val="auto"/>
                <w:highlight w:val="none"/>
              </w:rPr>
            </w:pPr>
            <w:r>
              <w:rPr>
                <w:rFonts w:hint="eastAsia"/>
                <w:color w:val="auto"/>
                <w:highlight w:val="none"/>
              </w:rPr>
              <w:t>12</w:t>
            </w:r>
          </w:p>
        </w:tc>
        <w:tc>
          <w:tcPr>
            <w:tcW w:w="8281" w:type="dxa"/>
          </w:tcPr>
          <w:p>
            <w:pPr>
              <w:rPr>
                <w:b/>
                <w:bCs/>
                <w:color w:val="auto"/>
                <w:highlight w:val="none"/>
              </w:rPr>
            </w:pPr>
            <w:r>
              <w:rPr>
                <w:rFonts w:hint="eastAsia"/>
                <w:b/>
                <w:bCs/>
                <w:color w:val="auto"/>
                <w:highlight w:val="none"/>
              </w:rPr>
              <w:t>12知识产权归属（请贵方根据实际，选取以下适用的条款。）</w:t>
            </w:r>
          </w:p>
          <w:p>
            <w:pPr>
              <w:ind w:firstLine="420" w:firstLineChars="200"/>
              <w:rPr>
                <w:color w:val="auto"/>
                <w:highlight w:val="none"/>
              </w:rPr>
            </w:pPr>
            <w:r>
              <w:rPr>
                <w:rFonts w:hint="eastAsia"/>
                <w:color w:val="auto"/>
                <w:highlight w:val="none"/>
              </w:rPr>
              <w:t>（1）成交供应商及其参与本项目的所有工作人员依据本合同所完成的所有技术成果的所有权益，包括但不限于知识产权及所有权，属于采购人。</w:t>
            </w:r>
          </w:p>
          <w:p>
            <w:pPr>
              <w:ind w:firstLine="420" w:firstLineChars="200"/>
              <w:rPr>
                <w:color w:val="auto"/>
                <w:highlight w:val="none"/>
              </w:rPr>
            </w:pPr>
            <w:r>
              <w:rPr>
                <w:rFonts w:hint="eastAsia"/>
                <w:color w:val="auto"/>
                <w:highlight w:val="none"/>
              </w:rPr>
              <w:t>（2）成交供应商按照本合同约定在履行系统软件系统运行维护和技术服务的过程中，利用采购人提供的相关资料和工作条件完成的新技术成果的所有权益，包括但不限于知识产权及所有权，属于采购人。</w:t>
            </w:r>
          </w:p>
          <w:p>
            <w:pPr>
              <w:ind w:firstLine="420" w:firstLineChars="200"/>
              <w:rPr>
                <w:color w:val="auto"/>
                <w:highlight w:val="none"/>
              </w:rPr>
            </w:pPr>
            <w:r>
              <w:rPr>
                <w:rFonts w:hint="eastAsia"/>
                <w:color w:val="auto"/>
                <w:highlight w:val="none"/>
              </w:rPr>
              <w:t>（3）成交供应商应保证所提供的交付物、服务及技术成果免受第三方提出侵犯其知识产权（专利权、商标权、著作权等）及其他权益的起诉。否则，成交供应商应赔偿采购人遭受的直接经济损失。</w:t>
            </w:r>
          </w:p>
          <w:p>
            <w:pPr>
              <w:ind w:firstLine="420" w:firstLineChars="200"/>
              <w:rPr>
                <w:color w:val="auto"/>
                <w:highlight w:val="none"/>
              </w:rPr>
            </w:pPr>
            <w:r>
              <w:rPr>
                <w:rFonts w:hint="eastAsia"/>
                <w:color w:val="auto"/>
                <w:highlight w:val="none"/>
              </w:rPr>
              <w:t>（4）</w:t>
            </w:r>
            <w:r>
              <w:rPr>
                <w:rFonts w:hint="eastAsia"/>
                <w:color w:val="auto"/>
                <w:highlight w:val="none"/>
                <w:lang w:val="en-US" w:eastAsia="zh-CN"/>
              </w:rPr>
              <w:t>采购人及成交供应商</w:t>
            </w:r>
            <w:r>
              <w:rPr>
                <w:rFonts w:hint="eastAsia"/>
                <w:color w:val="auto"/>
                <w:highlight w:val="none"/>
              </w:rPr>
              <w:t>在本合同签订前及本合同外获得的知识产权（“背景知识产权”），归各自所有，包括但不限于商标、专利、著作权等。</w:t>
            </w:r>
          </w:p>
          <w:p>
            <w:pPr>
              <w:ind w:firstLine="420" w:firstLineChars="200"/>
              <w:rPr>
                <w:color w:val="auto"/>
                <w:highlight w:val="none"/>
              </w:rPr>
            </w:pPr>
            <w:r>
              <w:rPr>
                <w:rFonts w:hint="eastAsia"/>
                <w:color w:val="auto"/>
                <w:highlight w:val="none"/>
              </w:rPr>
              <w:t>（6）对于为完成本项目服务而由成交供应商提供给采购人或在采购人系统部署的软件或其他有知识产权的内容，采购人有权用于本项目，但不得将其进行出租、出借、销售、转让、非存档目的的拷贝或通过提供分许可、转许可、信息网络等形式供任何第三人利用。采购人不对成交供应商产品或附带的第三方软件进行全部或部分地翻译、分解、修改、反编译、反汇编、反向工程或其他试图从成交供应商产品或附带的第三方软件导出程序源代码的行为。</w:t>
            </w:r>
          </w:p>
          <w:p>
            <w:pPr>
              <w:ind w:firstLine="420" w:firstLineChars="200"/>
              <w:rPr>
                <w:color w:val="auto"/>
                <w:highlight w:val="none"/>
              </w:rPr>
            </w:pPr>
            <w:r>
              <w:rPr>
                <w:rFonts w:hint="eastAsia"/>
                <w:color w:val="auto"/>
                <w:highlight w:val="none"/>
              </w:rPr>
              <w:t>（7）成交供应商根据采购人的需求或指示在项目系统或平台中展示采购人提供的单位名称、商标和标识、文本内容以及个人信息，视为获得采购人授权在本合同项下进行使用。无论因为何种原因导致本合同解除或终止，成交供应商应当在采购人通知之日起3日内返还并销毁其所获取的所有上述信息（包括但不限于相关文件、资料、数据等原件及复印件），不得以任何理由和方式保留。该等文件、资料、</w:t>
            </w:r>
            <w:bookmarkStart w:id="2" w:name="_GoBack"/>
            <w:bookmarkEnd w:id="2"/>
            <w:r>
              <w:rPr>
                <w:rFonts w:hint="eastAsia"/>
                <w:color w:val="auto"/>
                <w:highlight w:val="none"/>
              </w:rPr>
              <w:t>数据的返还和销毁并不免除成交供应商及其接触本合同上述信息的雇员或其他人员的保密义务。</w:t>
            </w:r>
          </w:p>
          <w:p>
            <w:pPr>
              <w:ind w:firstLine="420" w:firstLineChars="200"/>
              <w:rPr>
                <w:color w:val="auto"/>
                <w:highlight w:val="none"/>
              </w:rPr>
            </w:pPr>
          </w:p>
        </w:tc>
      </w:tr>
    </w:tbl>
    <w:p>
      <w:pPr>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I1ODNmMDQ0OTI3MzY5MDA2NjE1Mzc5NjUxZjUifQ=="/>
  </w:docVars>
  <w:rsids>
    <w:rsidRoot w:val="00000000"/>
    <w:rsid w:val="288F2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1"/>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oc 5"/>
    <w:basedOn w:val="1"/>
    <w:next w:val="1"/>
    <w:unhideWhenUsed/>
    <w:qFormat/>
    <w:uiPriority w:val="39"/>
    <w:pPr>
      <w:ind w:left="1680" w:leftChars="8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首行缩进2字符）"/>
    <w:basedOn w:val="1"/>
    <w:autoRedefine/>
    <w:qFormat/>
    <w:uiPriority w:val="0"/>
    <w:pPr>
      <w:spacing w:line="360" w:lineRule="auto"/>
      <w:ind w:firstLine="480" w:firstLineChars="200"/>
    </w:pPr>
    <w:rPr>
      <w:sz w:val="24"/>
    </w:rPr>
  </w:style>
  <w:style w:type="table" w:customStyle="1" w:styleId="1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2024-03-12T06:56:16Z</dcterms:created>
  <dc:creator>Admin</dc:creator>
  <cp:lastModifiedBy>Admin</cp:lastModifiedBy>
  <dcterms:modified xsi:type="dcterms:W3CDTF">2024-03-12T06:57:15Z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0E834480C5C34C07A0FDB39372560DFA_12</vt:lpwstr>
  </property>
</Properties>
</file>