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彩虹小标宋" w:eastAsia="彩虹小标宋"/>
          <w:snapToGrid w:val="0"/>
          <w:sz w:val="44"/>
          <w:szCs w:val="44"/>
        </w:rPr>
      </w:pPr>
      <w:r>
        <w:rPr>
          <w:rFonts w:hint="eastAsia" w:ascii="彩虹小标宋" w:eastAsia="彩虹小标宋"/>
          <w:snapToGrid w:val="0"/>
          <w:sz w:val="44"/>
          <w:szCs w:val="44"/>
        </w:rPr>
        <w:t>采购需求</w:t>
      </w:r>
    </w:p>
    <w:p/>
    <w:p>
      <w:pPr>
        <w:keepNext w:val="0"/>
        <w:keepLines w:val="0"/>
        <w:pageBreakBefore w:val="0"/>
        <w:widowControl w:val="0"/>
        <w:kinsoku/>
        <w:wordWrap/>
        <w:overflowPunct/>
        <w:topLinePunct w:val="0"/>
        <w:autoSpaceDE/>
        <w:autoSpaceDN/>
        <w:bidi w:val="0"/>
        <w:adjustRightInd w:val="0"/>
        <w:snapToGrid w:val="0"/>
        <w:spacing w:line="560" w:lineRule="exact"/>
        <w:ind w:firstLine="481" w:firstLineChars="200"/>
        <w:textAlignment w:val="auto"/>
        <w:outlineLvl w:val="0"/>
        <w:rPr>
          <w:rFonts w:hint="eastAsia" w:ascii="彩虹粗仿宋" w:hAnsi="彩虹粗仿宋" w:eastAsia="彩虹粗仿宋" w:cs="彩虹粗仿宋"/>
          <w:b/>
          <w:snapToGrid w:val="0"/>
          <w:kern w:val="0"/>
          <w:sz w:val="24"/>
          <w:szCs w:val="24"/>
        </w:rPr>
      </w:pPr>
      <w:r>
        <w:rPr>
          <w:rFonts w:hint="eastAsia" w:ascii="彩虹粗仿宋" w:hAnsi="彩虹粗仿宋" w:eastAsia="彩虹粗仿宋" w:cs="彩虹粗仿宋"/>
          <w:b/>
          <w:snapToGrid w:val="0"/>
          <w:kern w:val="0"/>
          <w:sz w:val="24"/>
          <w:szCs w:val="24"/>
        </w:rPr>
        <w:t>一、对于拟采购设备（物品）的要求</w:t>
      </w:r>
    </w:p>
    <w:p>
      <w:pPr>
        <w:keepNext w:val="0"/>
        <w:keepLines w:val="0"/>
        <w:pageBreakBefore w:val="0"/>
        <w:widowControl w:val="0"/>
        <w:kinsoku/>
        <w:wordWrap/>
        <w:overflowPunct/>
        <w:topLinePunct w:val="0"/>
        <w:autoSpaceDE/>
        <w:autoSpaceDN/>
        <w:bidi w:val="0"/>
        <w:adjustRightInd w:val="0"/>
        <w:snapToGrid w:val="0"/>
        <w:spacing w:line="560" w:lineRule="exact"/>
        <w:ind w:firstLine="481" w:firstLineChars="200"/>
        <w:textAlignment w:val="auto"/>
        <w:outlineLvl w:val="1"/>
        <w:rPr>
          <w:rFonts w:hint="eastAsia" w:ascii="彩虹粗仿宋" w:hAnsi="彩虹粗仿宋" w:eastAsia="彩虹粗仿宋" w:cs="彩虹粗仿宋"/>
          <w:b/>
          <w:snapToGrid w:val="0"/>
          <w:kern w:val="0"/>
          <w:sz w:val="24"/>
          <w:szCs w:val="24"/>
        </w:rPr>
      </w:pPr>
      <w:r>
        <w:rPr>
          <w:rFonts w:hint="eastAsia" w:ascii="彩虹粗仿宋" w:hAnsi="彩虹粗仿宋" w:eastAsia="彩虹粗仿宋" w:cs="彩虹粗仿宋"/>
          <w:b/>
          <w:snapToGrid w:val="0"/>
          <w:kern w:val="0"/>
          <w:sz w:val="24"/>
          <w:szCs w:val="24"/>
        </w:rPr>
        <w:t>（一）基本要求</w:t>
      </w:r>
    </w:p>
    <w:p>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textAlignment w:val="auto"/>
        <w:rPr>
          <w:rFonts w:hint="default" w:ascii="彩虹粗仿宋" w:hAnsi="彩虹粗仿宋" w:eastAsia="彩虹粗仿宋" w:cs="彩虹粗仿宋"/>
          <w:snapToGrid w:val="0"/>
          <w:kern w:val="0"/>
          <w:sz w:val="24"/>
          <w:szCs w:val="24"/>
          <w:lang w:val="en-US" w:eastAsia="zh-CN"/>
        </w:rPr>
      </w:pPr>
      <w:r>
        <w:rPr>
          <w:rFonts w:hint="eastAsia" w:ascii="彩虹粗仿宋" w:hAnsi="彩虹粗仿宋" w:eastAsia="彩虹粗仿宋" w:cs="彩虹粗仿宋"/>
          <w:snapToGrid w:val="0"/>
          <w:kern w:val="0"/>
          <w:sz w:val="24"/>
          <w:szCs w:val="24"/>
        </w:rPr>
        <w:t>需求数量为一套软件</w:t>
      </w:r>
      <w:r>
        <w:rPr>
          <w:rFonts w:hint="eastAsia" w:ascii="彩虹粗仿宋" w:hAnsi="彩虹粗仿宋" w:eastAsia="彩虹粗仿宋" w:cs="彩虹粗仿宋"/>
          <w:snapToGrid w:val="0"/>
          <w:kern w:val="0"/>
          <w:sz w:val="24"/>
          <w:szCs w:val="24"/>
          <w:lang w:eastAsia="zh-CN"/>
        </w:rPr>
        <w:t>，期限</w:t>
      </w:r>
      <w:r>
        <w:rPr>
          <w:rFonts w:hint="eastAsia" w:ascii="彩虹粗仿宋" w:hAnsi="彩虹粗仿宋" w:eastAsia="彩虹粗仿宋" w:cs="彩虹粗仿宋"/>
          <w:snapToGrid w:val="0"/>
          <w:kern w:val="0"/>
          <w:sz w:val="24"/>
          <w:szCs w:val="24"/>
          <w:lang w:val="en-US" w:eastAsia="zh-CN"/>
        </w:rPr>
        <w:t>3年</w:t>
      </w:r>
      <w:bookmarkStart w:id="0" w:name="_GoBack"/>
      <w:bookmarkEnd w:id="0"/>
    </w:p>
    <w:p>
      <w:pPr>
        <w:keepNext w:val="0"/>
        <w:keepLines w:val="0"/>
        <w:pageBreakBefore w:val="0"/>
        <w:widowControl w:val="0"/>
        <w:kinsoku/>
        <w:wordWrap/>
        <w:overflowPunct/>
        <w:topLinePunct w:val="0"/>
        <w:autoSpaceDE/>
        <w:autoSpaceDN/>
        <w:bidi w:val="0"/>
        <w:adjustRightInd w:val="0"/>
        <w:snapToGrid w:val="0"/>
        <w:spacing w:line="560" w:lineRule="exact"/>
        <w:ind w:firstLine="481" w:firstLineChars="200"/>
        <w:textAlignment w:val="auto"/>
        <w:outlineLvl w:val="1"/>
        <w:rPr>
          <w:rFonts w:hint="eastAsia" w:ascii="彩虹粗仿宋" w:hAnsi="彩虹粗仿宋" w:eastAsia="彩虹粗仿宋" w:cs="彩虹粗仿宋"/>
          <w:b/>
          <w:snapToGrid w:val="0"/>
          <w:kern w:val="0"/>
          <w:sz w:val="24"/>
          <w:szCs w:val="24"/>
        </w:rPr>
      </w:pPr>
      <w:r>
        <w:rPr>
          <w:rFonts w:hint="eastAsia" w:ascii="彩虹粗仿宋" w:hAnsi="彩虹粗仿宋" w:eastAsia="彩虹粗仿宋" w:cs="彩虹粗仿宋"/>
          <w:b/>
          <w:snapToGrid w:val="0"/>
          <w:kern w:val="0"/>
          <w:sz w:val="24"/>
          <w:szCs w:val="24"/>
        </w:rPr>
        <w:t>（二）配置要求</w:t>
      </w:r>
    </w:p>
    <w:p>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textAlignment w:val="auto"/>
        <w:rPr>
          <w:rFonts w:hint="eastAsia" w:ascii="彩虹粗仿宋" w:hAnsi="彩虹粗仿宋" w:eastAsia="彩虹粗仿宋" w:cs="彩虹粗仿宋"/>
          <w:snapToGrid w:val="0"/>
          <w:kern w:val="0"/>
          <w:sz w:val="24"/>
          <w:szCs w:val="24"/>
          <w:highlight w:val="none"/>
        </w:rPr>
      </w:pPr>
      <w:r>
        <w:rPr>
          <w:rFonts w:hint="eastAsia" w:ascii="彩虹粗仿宋" w:hAnsi="彩虹粗仿宋" w:eastAsia="彩虹粗仿宋" w:cs="彩虹粗仿宋"/>
          <w:snapToGrid w:val="0"/>
          <w:kern w:val="0"/>
          <w:sz w:val="24"/>
          <w:szCs w:val="24"/>
          <w:lang w:eastAsia="zh-CN"/>
        </w:rPr>
        <w:t>建设</w:t>
      </w:r>
      <w:r>
        <w:rPr>
          <w:rFonts w:hint="eastAsia" w:ascii="彩虹粗仿宋" w:hAnsi="彩虹粗仿宋" w:eastAsia="彩虹粗仿宋" w:cs="彩虹粗仿宋"/>
          <w:snapToGrid w:val="0"/>
          <w:kern w:val="0"/>
          <w:sz w:val="24"/>
          <w:szCs w:val="24"/>
        </w:rPr>
        <w:t>清远市中级人民法院一张网智慧破产管理系统。</w:t>
      </w:r>
    </w:p>
    <w:p>
      <w:pPr>
        <w:keepNext w:val="0"/>
        <w:keepLines w:val="0"/>
        <w:pageBreakBefore w:val="0"/>
        <w:widowControl w:val="0"/>
        <w:kinsoku/>
        <w:wordWrap/>
        <w:overflowPunct/>
        <w:topLinePunct w:val="0"/>
        <w:autoSpaceDE/>
        <w:autoSpaceDN/>
        <w:bidi w:val="0"/>
        <w:snapToGrid w:val="0"/>
        <w:spacing w:line="560" w:lineRule="exact"/>
        <w:ind w:firstLine="481" w:firstLineChars="200"/>
        <w:textAlignment w:val="auto"/>
        <w:rPr>
          <w:rFonts w:hint="eastAsia" w:ascii="彩虹粗仿宋" w:hAnsi="彩虹粗仿宋" w:eastAsia="彩虹粗仿宋" w:cs="彩虹粗仿宋"/>
          <w:b/>
          <w:bCs w:val="0"/>
          <w:sz w:val="24"/>
          <w:szCs w:val="24"/>
          <w:highlight w:val="none"/>
        </w:rPr>
      </w:pPr>
      <w:r>
        <w:rPr>
          <w:rFonts w:hint="eastAsia" w:ascii="彩虹粗仿宋" w:hAnsi="彩虹粗仿宋" w:eastAsia="彩虹粗仿宋" w:cs="彩虹粗仿宋"/>
          <w:b/>
          <w:snapToGrid w:val="0"/>
          <w:kern w:val="0"/>
          <w:sz w:val="24"/>
          <w:szCs w:val="24"/>
          <w:highlight w:val="none"/>
        </w:rPr>
        <w:t>（三</w:t>
      </w:r>
      <w:r>
        <w:rPr>
          <w:rFonts w:hint="eastAsia" w:ascii="彩虹粗仿宋" w:hAnsi="彩虹粗仿宋" w:eastAsia="彩虹粗仿宋" w:cs="彩虹粗仿宋"/>
          <w:b/>
          <w:bCs w:val="0"/>
          <w:snapToGrid w:val="0"/>
          <w:kern w:val="0"/>
          <w:sz w:val="24"/>
          <w:szCs w:val="24"/>
          <w:highlight w:val="none"/>
        </w:rPr>
        <w:t>）</w:t>
      </w:r>
      <w:r>
        <w:rPr>
          <w:rFonts w:hint="eastAsia" w:ascii="彩虹粗仿宋" w:hAnsi="彩虹粗仿宋" w:eastAsia="彩虹粗仿宋" w:cs="彩虹粗仿宋"/>
          <w:b/>
          <w:bCs w:val="0"/>
          <w:sz w:val="24"/>
          <w:szCs w:val="24"/>
          <w:highlight w:val="none"/>
        </w:rPr>
        <w:t>建设清单</w:t>
      </w:r>
    </w:p>
    <w:tbl>
      <w:tblPr>
        <w:tblStyle w:val="8"/>
        <w:tblW w:w="9069" w:type="dxa"/>
        <w:jc w:val="center"/>
        <w:tblLayout w:type="fixed"/>
        <w:tblCellMar>
          <w:top w:w="0" w:type="dxa"/>
          <w:left w:w="108" w:type="dxa"/>
          <w:bottom w:w="0" w:type="dxa"/>
          <w:right w:w="108" w:type="dxa"/>
        </w:tblCellMar>
      </w:tblPr>
      <w:tblGrid>
        <w:gridCol w:w="615"/>
        <w:gridCol w:w="1243"/>
        <w:gridCol w:w="5908"/>
        <w:gridCol w:w="625"/>
        <w:gridCol w:w="678"/>
      </w:tblGrid>
      <w:tr>
        <w:tblPrEx>
          <w:tblCellMar>
            <w:top w:w="0" w:type="dxa"/>
            <w:left w:w="108" w:type="dxa"/>
            <w:bottom w:w="0" w:type="dxa"/>
            <w:right w:w="108" w:type="dxa"/>
          </w:tblCellMar>
        </w:tblPrEx>
        <w:trPr>
          <w:trHeight w:val="1060" w:hRule="atLeast"/>
          <w:jc w:val="center"/>
        </w:trPr>
        <w:tc>
          <w:tcPr>
            <w:tcW w:w="61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彩虹粗仿宋" w:hAnsi="彩虹粗仿宋" w:eastAsia="彩虹粗仿宋" w:cs="彩虹粗仿宋"/>
                <w:b/>
                <w:bCs/>
                <w:color w:val="000000"/>
                <w:kern w:val="0"/>
                <w:sz w:val="24"/>
                <w:szCs w:val="24"/>
                <w:highlight w:val="none"/>
              </w:rPr>
            </w:pPr>
            <w:r>
              <w:rPr>
                <w:rFonts w:hint="eastAsia" w:ascii="彩虹粗仿宋" w:hAnsi="彩虹粗仿宋" w:eastAsia="彩虹粗仿宋" w:cs="彩虹粗仿宋"/>
                <w:b/>
                <w:bCs/>
                <w:color w:val="000000"/>
                <w:kern w:val="0"/>
                <w:sz w:val="24"/>
                <w:szCs w:val="24"/>
                <w:highlight w:val="none"/>
              </w:rPr>
              <w:t>序号</w:t>
            </w:r>
          </w:p>
        </w:tc>
        <w:tc>
          <w:tcPr>
            <w:tcW w:w="1243"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彩虹粗仿宋" w:hAnsi="彩虹粗仿宋" w:eastAsia="彩虹粗仿宋" w:cs="彩虹粗仿宋"/>
                <w:b/>
                <w:bCs/>
                <w:color w:val="000000"/>
                <w:kern w:val="0"/>
                <w:sz w:val="24"/>
                <w:szCs w:val="24"/>
                <w:highlight w:val="none"/>
              </w:rPr>
            </w:pPr>
            <w:r>
              <w:rPr>
                <w:rFonts w:hint="eastAsia" w:ascii="彩虹粗仿宋" w:hAnsi="彩虹粗仿宋" w:eastAsia="彩虹粗仿宋" w:cs="彩虹粗仿宋"/>
                <w:b/>
                <w:bCs/>
                <w:color w:val="000000"/>
                <w:kern w:val="0"/>
                <w:sz w:val="24"/>
                <w:szCs w:val="24"/>
                <w:highlight w:val="none"/>
                <w:lang w:val="en-US" w:eastAsia="zh-CN"/>
              </w:rPr>
              <w:t>设备名称</w:t>
            </w:r>
          </w:p>
        </w:tc>
        <w:tc>
          <w:tcPr>
            <w:tcW w:w="5908"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彩虹粗仿宋" w:hAnsi="彩虹粗仿宋" w:eastAsia="彩虹粗仿宋" w:cs="彩虹粗仿宋"/>
                <w:b/>
                <w:bCs/>
                <w:color w:val="000000"/>
                <w:kern w:val="0"/>
                <w:sz w:val="24"/>
                <w:szCs w:val="24"/>
                <w:highlight w:val="none"/>
              </w:rPr>
            </w:pPr>
            <w:r>
              <w:rPr>
                <w:rFonts w:hint="eastAsia" w:ascii="彩虹粗仿宋" w:hAnsi="彩虹粗仿宋" w:eastAsia="彩虹粗仿宋" w:cs="彩虹粗仿宋"/>
                <w:b/>
                <w:bCs/>
                <w:color w:val="000000"/>
                <w:kern w:val="0"/>
                <w:sz w:val="24"/>
                <w:szCs w:val="24"/>
                <w:highlight w:val="none"/>
              </w:rPr>
              <w:t>功能描述/规格型号</w:t>
            </w:r>
          </w:p>
        </w:tc>
        <w:tc>
          <w:tcPr>
            <w:tcW w:w="625"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彩虹粗仿宋" w:hAnsi="彩虹粗仿宋" w:eastAsia="彩虹粗仿宋" w:cs="彩虹粗仿宋"/>
                <w:b/>
                <w:bCs/>
                <w:color w:val="000000"/>
                <w:kern w:val="0"/>
                <w:sz w:val="24"/>
                <w:szCs w:val="24"/>
                <w:highlight w:val="none"/>
              </w:rPr>
            </w:pPr>
            <w:r>
              <w:rPr>
                <w:rFonts w:hint="eastAsia" w:ascii="彩虹粗仿宋" w:hAnsi="彩虹粗仿宋" w:eastAsia="彩虹粗仿宋" w:cs="彩虹粗仿宋"/>
                <w:b/>
                <w:bCs/>
                <w:color w:val="000000"/>
                <w:kern w:val="0"/>
                <w:sz w:val="24"/>
                <w:szCs w:val="24"/>
                <w:highlight w:val="none"/>
              </w:rPr>
              <w:t>单位</w:t>
            </w:r>
          </w:p>
        </w:tc>
        <w:tc>
          <w:tcPr>
            <w:tcW w:w="678"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彩虹粗仿宋" w:hAnsi="彩虹粗仿宋" w:eastAsia="彩虹粗仿宋" w:cs="彩虹粗仿宋"/>
                <w:b/>
                <w:bCs/>
                <w:color w:val="000000"/>
                <w:kern w:val="0"/>
                <w:sz w:val="24"/>
                <w:szCs w:val="24"/>
                <w:highlight w:val="none"/>
              </w:rPr>
            </w:pPr>
            <w:r>
              <w:rPr>
                <w:rFonts w:hint="eastAsia" w:ascii="彩虹粗仿宋" w:hAnsi="彩虹粗仿宋" w:eastAsia="彩虹粗仿宋" w:cs="彩虹粗仿宋"/>
                <w:b/>
                <w:bCs/>
                <w:color w:val="000000"/>
                <w:kern w:val="0"/>
                <w:sz w:val="24"/>
                <w:szCs w:val="24"/>
                <w:highlight w:val="none"/>
              </w:rPr>
              <w:t>数量</w:t>
            </w:r>
          </w:p>
        </w:tc>
      </w:tr>
      <w:tr>
        <w:tblPrEx>
          <w:tblCellMar>
            <w:top w:w="0" w:type="dxa"/>
            <w:left w:w="108" w:type="dxa"/>
            <w:bottom w:w="0" w:type="dxa"/>
            <w:right w:w="108" w:type="dxa"/>
          </w:tblCellMar>
        </w:tblPrEx>
        <w:trPr>
          <w:trHeight w:val="2835" w:hRule="atLeast"/>
          <w:jc w:val="center"/>
        </w:trPr>
        <w:tc>
          <w:tcPr>
            <w:tcW w:w="61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彩虹粗仿宋" w:hAnsi="彩虹粗仿宋" w:eastAsia="彩虹粗仿宋" w:cs="彩虹粗仿宋"/>
                <w:color w:val="000000"/>
                <w:kern w:val="0"/>
                <w:sz w:val="24"/>
                <w:szCs w:val="24"/>
                <w:highlight w:val="none"/>
              </w:rPr>
            </w:pPr>
            <w:r>
              <w:rPr>
                <w:rFonts w:hint="eastAsia" w:ascii="彩虹粗仿宋" w:hAnsi="彩虹粗仿宋" w:eastAsia="彩虹粗仿宋" w:cs="彩虹粗仿宋"/>
                <w:color w:val="000000"/>
                <w:kern w:val="0"/>
                <w:sz w:val="24"/>
                <w:szCs w:val="24"/>
                <w:highlight w:val="none"/>
              </w:rPr>
              <w:t>1</w:t>
            </w:r>
          </w:p>
        </w:tc>
        <w:tc>
          <w:tcPr>
            <w:tcW w:w="1243"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彩虹粗仿宋" w:hAnsi="彩虹粗仿宋" w:eastAsia="彩虹粗仿宋" w:cs="彩虹粗仿宋"/>
                <w:b w:val="0"/>
                <w:bCs w:val="0"/>
                <w:color w:val="000000"/>
                <w:kern w:val="0"/>
                <w:sz w:val="24"/>
                <w:szCs w:val="24"/>
                <w:highlight w:val="none"/>
              </w:rPr>
            </w:pPr>
            <w:r>
              <w:rPr>
                <w:rFonts w:hint="eastAsia" w:ascii="彩虹粗仿宋" w:hAnsi="彩虹粗仿宋" w:eastAsia="彩虹粗仿宋" w:cs="彩虹粗仿宋"/>
                <w:b w:val="0"/>
                <w:bCs w:val="0"/>
                <w:color w:val="000000"/>
                <w:kern w:val="0"/>
                <w:sz w:val="24"/>
                <w:szCs w:val="24"/>
                <w:highlight w:val="none"/>
                <w:lang w:val="en-US" w:eastAsia="zh-CN"/>
              </w:rPr>
              <w:t>清远市中级人民法院一张网智慧破产管理系统</w:t>
            </w:r>
          </w:p>
        </w:tc>
        <w:tc>
          <w:tcPr>
            <w:tcW w:w="5908" w:type="dxa"/>
            <w:tcBorders>
              <w:top w:val="single" w:color="auto" w:sz="4" w:space="0"/>
              <w:left w:val="nil"/>
              <w:bottom w:val="single" w:color="auto" w:sz="4" w:space="0"/>
              <w:right w:val="single" w:color="auto" w:sz="4" w:space="0"/>
            </w:tcBorders>
            <w:noWrap w:val="0"/>
            <w:vAlign w:val="center"/>
          </w:tcPr>
          <w:p>
            <w:pPr>
              <w:widowControl/>
              <w:jc w:val="left"/>
              <w:rPr>
                <w:rFonts w:hint="eastAsia" w:ascii="彩虹粗仿宋" w:hAnsi="彩虹粗仿宋" w:eastAsia="彩虹粗仿宋" w:cs="彩虹粗仿宋"/>
                <w:b w:val="0"/>
                <w:bCs w:val="0"/>
                <w:color w:val="000000"/>
                <w:kern w:val="0"/>
                <w:sz w:val="24"/>
                <w:szCs w:val="24"/>
                <w:highlight w:val="none"/>
              </w:rPr>
            </w:pPr>
            <w:r>
              <w:rPr>
                <w:rFonts w:hint="eastAsia" w:ascii="彩虹粗仿宋" w:hAnsi="彩虹粗仿宋" w:eastAsia="彩虹粗仿宋" w:cs="彩虹粗仿宋"/>
                <w:b w:val="0"/>
                <w:bCs w:val="0"/>
                <w:color w:val="000000"/>
                <w:kern w:val="0"/>
                <w:sz w:val="24"/>
                <w:szCs w:val="24"/>
                <w:highlight w:val="none"/>
              </w:rPr>
              <w:t>系统的功能是服务于法官、破产管理人、债权人、管理人协会，支持摇号过程实时录屏，提供管理人工作评分功能，系统自动接入全国企业破产重整信息平台。通过和银行端接口对接融合，实现线上网银支付方式，同时，严格遵循最高人民法院关于破产案件管理平台自建接入技术规范，开发标准化接口，实现与全国法院“一张网”数据实时互通。法官可对案件全流程督促和账户资金监管，实现全流程监督，大大提高管理人办理案件效率。</w:t>
            </w:r>
          </w:p>
        </w:tc>
        <w:tc>
          <w:tcPr>
            <w:tcW w:w="625"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彩虹粗仿宋" w:hAnsi="彩虹粗仿宋" w:eastAsia="彩虹粗仿宋" w:cs="彩虹粗仿宋"/>
                <w:color w:val="000000"/>
                <w:kern w:val="0"/>
                <w:sz w:val="24"/>
                <w:szCs w:val="24"/>
                <w:highlight w:val="none"/>
                <w:lang w:eastAsia="zh-CN"/>
              </w:rPr>
            </w:pPr>
            <w:r>
              <w:rPr>
                <w:rFonts w:hint="eastAsia" w:ascii="彩虹粗仿宋" w:hAnsi="彩虹粗仿宋" w:eastAsia="彩虹粗仿宋" w:cs="彩虹粗仿宋"/>
                <w:color w:val="000000"/>
                <w:kern w:val="0"/>
                <w:sz w:val="24"/>
                <w:szCs w:val="24"/>
                <w:highlight w:val="none"/>
                <w:lang w:eastAsia="zh-CN"/>
              </w:rPr>
              <w:t>套</w:t>
            </w:r>
          </w:p>
        </w:tc>
        <w:tc>
          <w:tcPr>
            <w:tcW w:w="678"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彩虹粗仿宋" w:hAnsi="彩虹粗仿宋" w:eastAsia="彩虹粗仿宋" w:cs="彩虹粗仿宋"/>
                <w:color w:val="000000"/>
                <w:kern w:val="0"/>
                <w:sz w:val="24"/>
                <w:szCs w:val="24"/>
                <w:highlight w:val="none"/>
                <w:lang w:val="en-US" w:eastAsia="zh-CN"/>
              </w:rPr>
            </w:pPr>
            <w:r>
              <w:rPr>
                <w:rFonts w:hint="eastAsia" w:ascii="彩虹粗仿宋" w:hAnsi="彩虹粗仿宋" w:eastAsia="彩虹粗仿宋" w:cs="彩虹粗仿宋"/>
                <w:color w:val="000000"/>
                <w:kern w:val="0"/>
                <w:sz w:val="24"/>
                <w:szCs w:val="24"/>
                <w:highlight w:val="none"/>
                <w:lang w:val="en-US" w:eastAsia="zh-CN"/>
              </w:rPr>
              <w:t>1</w:t>
            </w:r>
          </w:p>
        </w:tc>
      </w:tr>
    </w:tbl>
    <w:p>
      <w:pPr>
        <w:keepNext w:val="0"/>
        <w:keepLines w:val="0"/>
        <w:pageBreakBefore w:val="0"/>
        <w:widowControl w:val="0"/>
        <w:kinsoku/>
        <w:wordWrap/>
        <w:overflowPunct/>
        <w:topLinePunct w:val="0"/>
        <w:autoSpaceDE/>
        <w:autoSpaceDN/>
        <w:bidi w:val="0"/>
        <w:adjustRightInd/>
        <w:snapToGrid/>
        <w:spacing w:line="560" w:lineRule="exact"/>
        <w:ind w:firstLine="481" w:firstLineChars="200"/>
        <w:textAlignment w:val="auto"/>
        <w:outlineLvl w:val="1"/>
        <w:rPr>
          <w:rFonts w:hint="eastAsia" w:ascii="彩虹粗仿宋" w:hAnsi="彩虹粗仿宋" w:eastAsia="彩虹粗仿宋" w:cs="彩虹粗仿宋"/>
          <w:b/>
          <w:snapToGrid w:val="0"/>
          <w:kern w:val="0"/>
          <w:sz w:val="24"/>
          <w:szCs w:val="24"/>
        </w:rPr>
      </w:pPr>
      <w:r>
        <w:rPr>
          <w:rFonts w:hint="eastAsia" w:ascii="彩虹粗仿宋" w:hAnsi="彩虹粗仿宋" w:eastAsia="彩虹粗仿宋" w:cs="彩虹粗仿宋"/>
          <w:b/>
          <w:snapToGrid w:val="0"/>
          <w:kern w:val="0"/>
          <w:sz w:val="24"/>
          <w:szCs w:val="24"/>
        </w:rPr>
        <w:t>（四）技术、环保、质量要求</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textAlignment w:val="auto"/>
        <w:rPr>
          <w:rFonts w:hint="eastAsia" w:ascii="彩虹粗仿宋" w:hAnsi="彩虹粗仿宋" w:eastAsia="彩虹粗仿宋" w:cs="彩虹粗仿宋"/>
          <w:snapToGrid w:val="0"/>
          <w:kern w:val="0"/>
          <w:sz w:val="24"/>
          <w:szCs w:val="24"/>
          <w:lang w:eastAsia="zh-CN"/>
        </w:rPr>
      </w:pPr>
      <w:r>
        <w:rPr>
          <w:rFonts w:hint="eastAsia" w:ascii="彩虹粗仿宋" w:hAnsi="彩虹粗仿宋" w:eastAsia="彩虹粗仿宋" w:cs="彩虹粗仿宋"/>
          <w:snapToGrid w:val="0"/>
          <w:kern w:val="0"/>
          <w:sz w:val="24"/>
          <w:szCs w:val="24"/>
          <w:lang w:eastAsia="zh-CN"/>
        </w:rPr>
        <w:t>建设</w:t>
      </w:r>
      <w:r>
        <w:rPr>
          <w:rFonts w:hint="eastAsia" w:ascii="彩虹粗仿宋" w:hAnsi="彩虹粗仿宋" w:eastAsia="彩虹粗仿宋" w:cs="彩虹粗仿宋"/>
          <w:snapToGrid w:val="0"/>
          <w:kern w:val="0"/>
          <w:sz w:val="24"/>
          <w:szCs w:val="24"/>
        </w:rPr>
        <w:t>清远市中级人民法院一张网智慧破产管理系统，实现法院与银行的专线对接，对破产案件资金交易进行全程实时监控。系统将严格遵循最高人民法院相关技术规范，实现与法院“一张网”数据的实时互通，破产辅助办案，打破数据壁垒，强化协同共享，以数字化、智能化手段赋能破产审判流程，全面提高破产案件的办理效率与质量。</w:t>
      </w:r>
    </w:p>
    <w:p>
      <w:pPr>
        <w:keepNext w:val="0"/>
        <w:keepLines w:val="0"/>
        <w:pageBreakBefore w:val="0"/>
        <w:widowControl w:val="0"/>
        <w:kinsoku/>
        <w:wordWrap/>
        <w:overflowPunct/>
        <w:topLinePunct w:val="0"/>
        <w:autoSpaceDE/>
        <w:autoSpaceDN/>
        <w:bidi w:val="0"/>
        <w:adjustRightInd/>
        <w:snapToGrid/>
        <w:spacing w:line="560" w:lineRule="exact"/>
        <w:ind w:firstLine="481" w:firstLineChars="200"/>
        <w:textAlignment w:val="auto"/>
        <w:outlineLvl w:val="1"/>
        <w:rPr>
          <w:rFonts w:hint="eastAsia" w:ascii="彩虹粗仿宋" w:hAnsi="彩虹粗仿宋" w:eastAsia="彩虹粗仿宋" w:cs="彩虹粗仿宋"/>
          <w:b/>
          <w:bCs w:val="0"/>
          <w:snapToGrid w:val="0"/>
          <w:kern w:val="0"/>
          <w:sz w:val="24"/>
          <w:szCs w:val="24"/>
        </w:rPr>
      </w:pPr>
      <w:r>
        <w:rPr>
          <w:rFonts w:hint="eastAsia" w:ascii="彩虹粗仿宋" w:hAnsi="彩虹粗仿宋" w:eastAsia="彩虹粗仿宋" w:cs="彩虹粗仿宋"/>
          <w:b/>
          <w:bCs w:val="0"/>
          <w:snapToGrid w:val="0"/>
          <w:kern w:val="0"/>
          <w:sz w:val="24"/>
          <w:szCs w:val="24"/>
        </w:rPr>
        <w:t>1</w:t>
      </w:r>
      <w:r>
        <w:rPr>
          <w:rFonts w:hint="eastAsia" w:ascii="彩虹粗仿宋" w:hAnsi="彩虹粗仿宋" w:eastAsia="彩虹粗仿宋" w:cs="彩虹粗仿宋"/>
          <w:b/>
          <w:bCs w:val="0"/>
          <w:snapToGrid w:val="0"/>
          <w:kern w:val="0"/>
          <w:sz w:val="24"/>
          <w:szCs w:val="24"/>
          <w:lang w:eastAsia="zh-CN"/>
        </w:rPr>
        <w:t>.</w:t>
      </w:r>
      <w:r>
        <w:rPr>
          <w:rFonts w:hint="eastAsia" w:ascii="彩虹粗仿宋" w:hAnsi="彩虹粗仿宋" w:eastAsia="彩虹粗仿宋" w:cs="彩虹粗仿宋"/>
          <w:b/>
          <w:bCs w:val="0"/>
          <w:snapToGrid w:val="0"/>
          <w:kern w:val="0"/>
          <w:sz w:val="24"/>
          <w:szCs w:val="24"/>
        </w:rPr>
        <w:t>建设内容</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outlineLvl w:val="1"/>
        <w:rPr>
          <w:rFonts w:hint="eastAsia" w:ascii="彩虹粗仿宋" w:hAnsi="彩虹粗仿宋" w:eastAsia="彩虹粗仿宋" w:cs="彩虹粗仿宋"/>
          <w:b w:val="0"/>
          <w:bCs/>
          <w:snapToGrid w:val="0"/>
          <w:kern w:val="0"/>
          <w:sz w:val="24"/>
          <w:szCs w:val="24"/>
        </w:rPr>
      </w:pPr>
      <w:r>
        <w:rPr>
          <w:rFonts w:hint="eastAsia" w:ascii="彩虹粗仿宋" w:hAnsi="彩虹粗仿宋" w:eastAsia="彩虹粗仿宋" w:cs="彩虹粗仿宋"/>
          <w:b w:val="0"/>
          <w:bCs/>
          <w:snapToGrid w:val="0"/>
          <w:kern w:val="0"/>
          <w:sz w:val="24"/>
          <w:szCs w:val="24"/>
        </w:rPr>
        <w:t>针对本项目的需求范围，建设内容共包括五个平台相关功能：</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outlineLvl w:val="1"/>
        <w:rPr>
          <w:rFonts w:hint="eastAsia" w:ascii="彩虹粗仿宋" w:hAnsi="彩虹粗仿宋" w:eastAsia="彩虹粗仿宋" w:cs="彩虹粗仿宋"/>
          <w:b w:val="0"/>
          <w:bCs/>
          <w:snapToGrid w:val="0"/>
          <w:kern w:val="0"/>
          <w:sz w:val="24"/>
          <w:szCs w:val="24"/>
        </w:rPr>
      </w:pPr>
      <w:r>
        <w:rPr>
          <w:rFonts w:hint="eastAsia" w:ascii="彩虹粗仿宋" w:hAnsi="彩虹粗仿宋" w:eastAsia="彩虹粗仿宋" w:cs="彩虹粗仿宋"/>
          <w:b w:val="0"/>
          <w:bCs/>
          <w:snapToGrid w:val="0"/>
          <w:kern w:val="0"/>
          <w:sz w:val="24"/>
          <w:szCs w:val="24"/>
        </w:rPr>
        <w:t>破产管理人平台（互联网）</w:t>
      </w:r>
      <w:r>
        <w:rPr>
          <w:rFonts w:hint="eastAsia" w:ascii="彩虹粗仿宋" w:hAnsi="彩虹粗仿宋" w:eastAsia="彩虹粗仿宋" w:cs="彩虹粗仿宋"/>
          <w:b w:val="0"/>
          <w:bCs/>
          <w:snapToGrid w:val="0"/>
          <w:kern w:val="0"/>
          <w:sz w:val="24"/>
          <w:szCs w:val="24"/>
          <w:lang w:eastAsia="zh-CN"/>
        </w:rPr>
        <w:t>、</w:t>
      </w:r>
      <w:r>
        <w:rPr>
          <w:rFonts w:hint="eastAsia" w:ascii="彩虹粗仿宋" w:hAnsi="彩虹粗仿宋" w:eastAsia="彩虹粗仿宋" w:cs="彩虹粗仿宋"/>
          <w:b w:val="0"/>
          <w:bCs/>
          <w:snapToGrid w:val="0"/>
          <w:kern w:val="0"/>
          <w:sz w:val="24"/>
          <w:szCs w:val="24"/>
        </w:rPr>
        <w:t>债权人移动端（互联网）</w:t>
      </w:r>
      <w:r>
        <w:rPr>
          <w:rFonts w:hint="eastAsia" w:ascii="彩虹粗仿宋" w:hAnsi="彩虹粗仿宋" w:eastAsia="彩虹粗仿宋" w:cs="彩虹粗仿宋"/>
          <w:b w:val="0"/>
          <w:bCs/>
          <w:snapToGrid w:val="0"/>
          <w:kern w:val="0"/>
          <w:sz w:val="24"/>
          <w:szCs w:val="24"/>
          <w:lang w:eastAsia="zh-CN"/>
        </w:rPr>
        <w:t>、</w:t>
      </w:r>
      <w:r>
        <w:rPr>
          <w:rFonts w:hint="eastAsia" w:ascii="彩虹粗仿宋" w:hAnsi="彩虹粗仿宋" w:eastAsia="彩虹粗仿宋" w:cs="彩虹粗仿宋"/>
          <w:b w:val="0"/>
          <w:bCs/>
          <w:snapToGrid w:val="0"/>
          <w:kern w:val="0"/>
          <w:sz w:val="24"/>
          <w:szCs w:val="24"/>
        </w:rPr>
        <w:t>债权人平台（互联网）</w:t>
      </w:r>
      <w:r>
        <w:rPr>
          <w:rFonts w:hint="eastAsia" w:ascii="彩虹粗仿宋" w:hAnsi="彩虹粗仿宋" w:eastAsia="彩虹粗仿宋" w:cs="彩虹粗仿宋"/>
          <w:b w:val="0"/>
          <w:bCs/>
          <w:snapToGrid w:val="0"/>
          <w:kern w:val="0"/>
          <w:sz w:val="24"/>
          <w:szCs w:val="24"/>
          <w:lang w:eastAsia="zh-CN"/>
        </w:rPr>
        <w:t>、</w:t>
      </w:r>
      <w:r>
        <w:rPr>
          <w:rFonts w:hint="eastAsia" w:ascii="彩虹粗仿宋" w:hAnsi="彩虹粗仿宋" w:eastAsia="彩虹粗仿宋" w:cs="彩虹粗仿宋"/>
          <w:b w:val="0"/>
          <w:bCs/>
          <w:snapToGrid w:val="0"/>
          <w:kern w:val="0"/>
          <w:sz w:val="24"/>
          <w:szCs w:val="24"/>
        </w:rPr>
        <w:t>破产案件管理平台（法官端）</w:t>
      </w:r>
      <w:r>
        <w:rPr>
          <w:rFonts w:hint="eastAsia" w:ascii="彩虹粗仿宋" w:hAnsi="彩虹粗仿宋" w:eastAsia="彩虹粗仿宋" w:cs="彩虹粗仿宋"/>
          <w:b w:val="0"/>
          <w:bCs/>
          <w:snapToGrid w:val="0"/>
          <w:kern w:val="0"/>
          <w:sz w:val="24"/>
          <w:szCs w:val="24"/>
          <w:lang w:eastAsia="zh-CN"/>
        </w:rPr>
        <w:t>、</w:t>
      </w:r>
      <w:r>
        <w:rPr>
          <w:rFonts w:hint="eastAsia" w:ascii="彩虹粗仿宋" w:hAnsi="彩虹粗仿宋" w:eastAsia="彩虹粗仿宋" w:cs="彩虹粗仿宋"/>
          <w:b w:val="0"/>
          <w:bCs/>
          <w:snapToGrid w:val="0"/>
          <w:kern w:val="0"/>
          <w:sz w:val="24"/>
          <w:szCs w:val="24"/>
        </w:rPr>
        <w:t>“法银”破产资金监管。</w:t>
      </w:r>
    </w:p>
    <w:p>
      <w:pPr>
        <w:keepNext w:val="0"/>
        <w:keepLines w:val="0"/>
        <w:pageBreakBefore w:val="0"/>
        <w:widowControl w:val="0"/>
        <w:kinsoku/>
        <w:wordWrap/>
        <w:overflowPunct/>
        <w:topLinePunct w:val="0"/>
        <w:autoSpaceDE/>
        <w:autoSpaceDN/>
        <w:bidi w:val="0"/>
        <w:adjustRightInd/>
        <w:snapToGrid/>
        <w:spacing w:line="560" w:lineRule="exact"/>
        <w:ind w:firstLine="481" w:firstLineChars="200"/>
        <w:textAlignment w:val="auto"/>
        <w:outlineLvl w:val="1"/>
        <w:rPr>
          <w:rFonts w:hint="eastAsia" w:ascii="彩虹粗仿宋" w:hAnsi="彩虹粗仿宋" w:eastAsia="彩虹粗仿宋" w:cs="彩虹粗仿宋"/>
          <w:b/>
          <w:bCs w:val="0"/>
          <w:snapToGrid w:val="0"/>
          <w:kern w:val="0"/>
          <w:sz w:val="24"/>
          <w:szCs w:val="24"/>
        </w:rPr>
      </w:pPr>
      <w:r>
        <w:rPr>
          <w:rFonts w:hint="eastAsia" w:ascii="彩虹粗仿宋" w:hAnsi="彩虹粗仿宋" w:eastAsia="彩虹粗仿宋" w:cs="彩虹粗仿宋"/>
          <w:b/>
          <w:bCs w:val="0"/>
          <w:snapToGrid w:val="0"/>
          <w:kern w:val="0"/>
          <w:sz w:val="24"/>
          <w:szCs w:val="24"/>
          <w:lang w:val="en-US" w:eastAsia="zh-CN"/>
        </w:rPr>
        <w:t>2.</w:t>
      </w:r>
      <w:r>
        <w:rPr>
          <w:rFonts w:hint="eastAsia" w:ascii="彩虹粗仿宋" w:hAnsi="彩虹粗仿宋" w:eastAsia="彩虹粗仿宋" w:cs="彩虹粗仿宋"/>
          <w:b/>
          <w:bCs w:val="0"/>
          <w:snapToGrid w:val="0"/>
          <w:kern w:val="0"/>
          <w:sz w:val="24"/>
          <w:szCs w:val="24"/>
        </w:rPr>
        <w:t>破产管理人平台（互联网端）</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outlineLvl w:val="1"/>
        <w:rPr>
          <w:rFonts w:hint="eastAsia" w:ascii="彩虹粗仿宋" w:hAnsi="彩虹粗仿宋" w:eastAsia="彩虹粗仿宋" w:cs="彩虹粗仿宋"/>
          <w:b w:val="0"/>
          <w:bCs/>
          <w:snapToGrid w:val="0"/>
          <w:kern w:val="0"/>
          <w:sz w:val="24"/>
          <w:szCs w:val="24"/>
        </w:rPr>
      </w:pPr>
      <w:r>
        <w:rPr>
          <w:rFonts w:hint="eastAsia" w:ascii="彩虹粗仿宋" w:hAnsi="彩虹粗仿宋" w:eastAsia="彩虹粗仿宋" w:cs="彩虹粗仿宋"/>
          <w:b w:val="0"/>
          <w:bCs/>
          <w:snapToGrid w:val="0"/>
          <w:kern w:val="0"/>
          <w:sz w:val="24"/>
          <w:szCs w:val="24"/>
        </w:rPr>
        <w:t>为管理人提供破产案件全流程节点处理，线上进行发起和召开债权人会议，债权人会议表决结果自动统计和生成，破产账户资金线上发起和账户情况实时查询，提供线上与法官互联互动，提高破产管理人履职尽职和效率。通过内外网安全数据交换平台，实现与法官专网办案平台的数据交互。</w:t>
      </w:r>
    </w:p>
    <w:p>
      <w:pPr>
        <w:keepNext w:val="0"/>
        <w:keepLines w:val="0"/>
        <w:pageBreakBefore w:val="0"/>
        <w:widowControl w:val="0"/>
        <w:kinsoku/>
        <w:wordWrap/>
        <w:overflowPunct/>
        <w:topLinePunct w:val="0"/>
        <w:autoSpaceDE/>
        <w:autoSpaceDN/>
        <w:bidi w:val="0"/>
        <w:adjustRightInd/>
        <w:snapToGrid/>
        <w:spacing w:line="560" w:lineRule="exact"/>
        <w:ind w:firstLine="481" w:firstLineChars="200"/>
        <w:textAlignment w:val="auto"/>
        <w:outlineLvl w:val="1"/>
        <w:rPr>
          <w:rFonts w:hint="eastAsia" w:ascii="彩虹粗仿宋" w:hAnsi="彩虹粗仿宋" w:eastAsia="彩虹粗仿宋" w:cs="彩虹粗仿宋"/>
          <w:b/>
          <w:bCs w:val="0"/>
          <w:snapToGrid w:val="0"/>
          <w:kern w:val="0"/>
          <w:sz w:val="24"/>
          <w:szCs w:val="24"/>
        </w:rPr>
      </w:pPr>
      <w:r>
        <w:rPr>
          <w:rFonts w:hint="eastAsia" w:ascii="彩虹粗仿宋" w:hAnsi="彩虹粗仿宋" w:eastAsia="彩虹粗仿宋" w:cs="彩虹粗仿宋"/>
          <w:b/>
          <w:bCs w:val="0"/>
          <w:snapToGrid w:val="0"/>
          <w:kern w:val="0"/>
          <w:sz w:val="24"/>
          <w:szCs w:val="24"/>
        </w:rPr>
        <w:t>3</w:t>
      </w:r>
      <w:r>
        <w:rPr>
          <w:rFonts w:hint="eastAsia" w:ascii="彩虹粗仿宋" w:hAnsi="彩虹粗仿宋" w:eastAsia="彩虹粗仿宋" w:cs="彩虹粗仿宋"/>
          <w:b/>
          <w:bCs w:val="0"/>
          <w:snapToGrid w:val="0"/>
          <w:kern w:val="0"/>
          <w:sz w:val="24"/>
          <w:szCs w:val="24"/>
          <w:lang w:eastAsia="zh-CN"/>
        </w:rPr>
        <w:t>.</w:t>
      </w:r>
      <w:r>
        <w:rPr>
          <w:rFonts w:hint="eastAsia" w:ascii="彩虹粗仿宋" w:hAnsi="彩虹粗仿宋" w:eastAsia="彩虹粗仿宋" w:cs="彩虹粗仿宋"/>
          <w:b/>
          <w:bCs w:val="0"/>
          <w:snapToGrid w:val="0"/>
          <w:kern w:val="0"/>
          <w:sz w:val="24"/>
          <w:szCs w:val="24"/>
        </w:rPr>
        <w:t>债权人/债务人管理平台（互联网端）</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outlineLvl w:val="1"/>
        <w:rPr>
          <w:rFonts w:hint="eastAsia" w:ascii="彩虹粗仿宋" w:hAnsi="彩虹粗仿宋" w:eastAsia="彩虹粗仿宋" w:cs="彩虹粗仿宋"/>
          <w:b w:val="0"/>
          <w:bCs/>
          <w:snapToGrid w:val="0"/>
          <w:kern w:val="0"/>
          <w:sz w:val="24"/>
          <w:szCs w:val="24"/>
        </w:rPr>
      </w:pPr>
      <w:r>
        <w:rPr>
          <w:rFonts w:hint="eastAsia" w:ascii="彩虹粗仿宋" w:hAnsi="彩虹粗仿宋" w:eastAsia="彩虹粗仿宋" w:cs="彩虹粗仿宋"/>
          <w:b w:val="0"/>
          <w:bCs/>
          <w:snapToGrid w:val="0"/>
          <w:kern w:val="0"/>
          <w:sz w:val="24"/>
          <w:szCs w:val="24"/>
        </w:rPr>
        <w:t>提供便捷的移动端和PC端，方便债权人、债务人线上进行实时查看案件基本情况，债权人可线上进行债权申报预申请、材料的补充等，债权申报的结果实时动态查询结果。可通过移动端线上参加债权人会议，债权人会议全流程进行录音录像。</w:t>
      </w:r>
    </w:p>
    <w:p>
      <w:pPr>
        <w:keepNext w:val="0"/>
        <w:keepLines w:val="0"/>
        <w:pageBreakBefore w:val="0"/>
        <w:widowControl w:val="0"/>
        <w:kinsoku/>
        <w:wordWrap/>
        <w:overflowPunct/>
        <w:topLinePunct w:val="0"/>
        <w:autoSpaceDE/>
        <w:autoSpaceDN/>
        <w:bidi w:val="0"/>
        <w:adjustRightInd/>
        <w:snapToGrid/>
        <w:spacing w:line="560" w:lineRule="exact"/>
        <w:ind w:firstLine="481" w:firstLineChars="200"/>
        <w:textAlignment w:val="auto"/>
        <w:outlineLvl w:val="1"/>
        <w:rPr>
          <w:rFonts w:hint="eastAsia" w:ascii="彩虹粗仿宋" w:hAnsi="彩虹粗仿宋" w:eastAsia="彩虹粗仿宋" w:cs="彩虹粗仿宋"/>
          <w:b/>
          <w:bCs w:val="0"/>
          <w:snapToGrid w:val="0"/>
          <w:kern w:val="0"/>
          <w:sz w:val="24"/>
          <w:szCs w:val="24"/>
        </w:rPr>
      </w:pPr>
      <w:r>
        <w:rPr>
          <w:rFonts w:hint="eastAsia" w:ascii="彩虹粗仿宋" w:hAnsi="彩虹粗仿宋" w:eastAsia="彩虹粗仿宋" w:cs="彩虹粗仿宋"/>
          <w:b/>
          <w:bCs w:val="0"/>
          <w:snapToGrid w:val="0"/>
          <w:kern w:val="0"/>
          <w:sz w:val="24"/>
          <w:szCs w:val="24"/>
        </w:rPr>
        <w:t>4</w:t>
      </w:r>
      <w:r>
        <w:rPr>
          <w:rFonts w:hint="eastAsia" w:ascii="彩虹粗仿宋" w:hAnsi="彩虹粗仿宋" w:eastAsia="彩虹粗仿宋" w:cs="彩虹粗仿宋"/>
          <w:b/>
          <w:bCs w:val="0"/>
          <w:snapToGrid w:val="0"/>
          <w:kern w:val="0"/>
          <w:sz w:val="24"/>
          <w:szCs w:val="24"/>
          <w:lang w:eastAsia="zh-CN"/>
        </w:rPr>
        <w:t>.</w:t>
      </w:r>
      <w:r>
        <w:rPr>
          <w:rFonts w:hint="eastAsia" w:ascii="彩虹粗仿宋" w:hAnsi="彩虹粗仿宋" w:eastAsia="彩虹粗仿宋" w:cs="彩虹粗仿宋"/>
          <w:b/>
          <w:bCs w:val="0"/>
          <w:snapToGrid w:val="0"/>
          <w:kern w:val="0"/>
          <w:sz w:val="24"/>
          <w:szCs w:val="24"/>
        </w:rPr>
        <w:t>债权人会议平台</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outlineLvl w:val="1"/>
        <w:rPr>
          <w:rFonts w:hint="eastAsia" w:ascii="彩虹粗仿宋" w:hAnsi="彩虹粗仿宋" w:eastAsia="彩虹粗仿宋" w:cs="彩虹粗仿宋"/>
          <w:b w:val="0"/>
          <w:bCs/>
          <w:snapToGrid w:val="0"/>
          <w:kern w:val="0"/>
          <w:sz w:val="24"/>
          <w:szCs w:val="24"/>
        </w:rPr>
      </w:pPr>
      <w:r>
        <w:rPr>
          <w:rFonts w:hint="eastAsia" w:ascii="彩虹粗仿宋" w:hAnsi="彩虹粗仿宋" w:eastAsia="彩虹粗仿宋" w:cs="彩虹粗仿宋"/>
          <w:b w:val="0"/>
          <w:bCs/>
          <w:snapToGrid w:val="0"/>
          <w:kern w:val="0"/>
          <w:sz w:val="24"/>
          <w:szCs w:val="24"/>
        </w:rPr>
        <w:t>基于互联网实现债权人会议，在线查看表决事项和表决材料，并对相关议题进行表决。可通过移动端线上参加债权人会议，提供债权人会议全流程录音录像。</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outlineLvl w:val="1"/>
        <w:rPr>
          <w:rFonts w:hint="eastAsia" w:ascii="彩虹粗仿宋" w:hAnsi="彩虹粗仿宋" w:eastAsia="彩虹粗仿宋" w:cs="彩虹粗仿宋"/>
          <w:b w:val="0"/>
          <w:bCs/>
          <w:snapToGrid w:val="0"/>
          <w:kern w:val="0"/>
          <w:sz w:val="24"/>
          <w:szCs w:val="24"/>
        </w:rPr>
      </w:pPr>
      <w:r>
        <w:rPr>
          <w:rFonts w:hint="eastAsia" w:ascii="彩虹粗仿宋" w:hAnsi="彩虹粗仿宋" w:eastAsia="彩虹粗仿宋" w:cs="彩虹粗仿宋"/>
          <w:b w:val="0"/>
          <w:bCs/>
          <w:snapToGrid w:val="0"/>
          <w:kern w:val="0"/>
          <w:sz w:val="24"/>
          <w:szCs w:val="24"/>
        </w:rPr>
        <w:t>该平台主要使用角色为破产管理人、债权人、债务人、人民法院法官，主要功能</w:t>
      </w:r>
      <w:r>
        <w:rPr>
          <w:rFonts w:hint="eastAsia" w:ascii="彩虹粗仿宋" w:hAnsi="彩虹粗仿宋" w:eastAsia="彩虹粗仿宋" w:cs="彩虹粗仿宋"/>
          <w:b w:val="0"/>
          <w:bCs/>
          <w:snapToGrid w:val="0"/>
          <w:kern w:val="0"/>
          <w:sz w:val="24"/>
          <w:szCs w:val="24"/>
          <w:lang w:eastAsia="zh-CN"/>
        </w:rPr>
        <w:t>为</w:t>
      </w:r>
      <w:r>
        <w:rPr>
          <w:rFonts w:hint="eastAsia" w:ascii="彩虹粗仿宋" w:hAnsi="彩虹粗仿宋" w:eastAsia="彩虹粗仿宋" w:cs="彩虹粗仿宋"/>
          <w:b w:val="0"/>
          <w:bCs/>
          <w:snapToGrid w:val="0"/>
          <w:kern w:val="0"/>
          <w:sz w:val="24"/>
          <w:szCs w:val="24"/>
        </w:rPr>
        <w:t>：债权人会议在破产案件中有重要作用，目前均以线下召开形式，需要浪费大量时间成本、差旅成本、场地成本。针对债权人数量较多案件，线下债权人会议组织召开难度过大。本系统为线上债权人会议系统，由破产管理人发起，主持会议，债权人线上观看会议直播，并支持线上投票。</w:t>
      </w:r>
    </w:p>
    <w:p>
      <w:pPr>
        <w:keepNext w:val="0"/>
        <w:keepLines w:val="0"/>
        <w:pageBreakBefore w:val="0"/>
        <w:widowControl w:val="0"/>
        <w:kinsoku/>
        <w:wordWrap/>
        <w:overflowPunct/>
        <w:topLinePunct w:val="0"/>
        <w:autoSpaceDE/>
        <w:autoSpaceDN/>
        <w:bidi w:val="0"/>
        <w:adjustRightInd/>
        <w:snapToGrid/>
        <w:spacing w:line="560" w:lineRule="exact"/>
        <w:ind w:firstLine="481" w:firstLineChars="200"/>
        <w:textAlignment w:val="auto"/>
        <w:outlineLvl w:val="1"/>
        <w:rPr>
          <w:rFonts w:hint="eastAsia" w:ascii="彩虹粗仿宋" w:hAnsi="彩虹粗仿宋" w:eastAsia="彩虹粗仿宋" w:cs="彩虹粗仿宋"/>
          <w:b/>
          <w:bCs w:val="0"/>
          <w:snapToGrid w:val="0"/>
          <w:kern w:val="0"/>
          <w:sz w:val="24"/>
          <w:szCs w:val="24"/>
        </w:rPr>
      </w:pPr>
      <w:r>
        <w:rPr>
          <w:rFonts w:hint="eastAsia" w:ascii="彩虹粗仿宋" w:hAnsi="彩虹粗仿宋" w:eastAsia="彩虹粗仿宋" w:cs="彩虹粗仿宋"/>
          <w:b/>
          <w:bCs w:val="0"/>
          <w:snapToGrid w:val="0"/>
          <w:kern w:val="0"/>
          <w:sz w:val="24"/>
          <w:szCs w:val="24"/>
        </w:rPr>
        <w:t>5</w:t>
      </w:r>
      <w:r>
        <w:rPr>
          <w:rFonts w:hint="eastAsia" w:ascii="彩虹粗仿宋" w:hAnsi="彩虹粗仿宋" w:eastAsia="彩虹粗仿宋" w:cs="彩虹粗仿宋"/>
          <w:b/>
          <w:bCs w:val="0"/>
          <w:snapToGrid w:val="0"/>
          <w:kern w:val="0"/>
          <w:sz w:val="24"/>
          <w:szCs w:val="24"/>
          <w:lang w:eastAsia="zh-CN"/>
        </w:rPr>
        <w:t>.</w:t>
      </w:r>
      <w:r>
        <w:rPr>
          <w:rFonts w:hint="eastAsia" w:ascii="彩虹粗仿宋" w:hAnsi="彩虹粗仿宋" w:eastAsia="彩虹粗仿宋" w:cs="彩虹粗仿宋"/>
          <w:b/>
          <w:bCs w:val="0"/>
          <w:snapToGrid w:val="0"/>
          <w:kern w:val="0"/>
          <w:sz w:val="24"/>
          <w:szCs w:val="24"/>
        </w:rPr>
        <w:t>破产案件管理平台（法官端）</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outlineLvl w:val="1"/>
        <w:rPr>
          <w:rFonts w:hint="eastAsia" w:ascii="彩虹粗仿宋" w:hAnsi="彩虹粗仿宋" w:eastAsia="彩虹粗仿宋" w:cs="彩虹粗仿宋"/>
          <w:b w:val="0"/>
          <w:bCs/>
          <w:snapToGrid w:val="0"/>
          <w:kern w:val="0"/>
          <w:sz w:val="24"/>
          <w:szCs w:val="24"/>
        </w:rPr>
      </w:pPr>
      <w:r>
        <w:rPr>
          <w:rFonts w:hint="eastAsia" w:ascii="彩虹粗仿宋" w:hAnsi="彩虹粗仿宋" w:eastAsia="彩虹粗仿宋" w:cs="彩虹粗仿宋"/>
          <w:b w:val="0"/>
          <w:bCs/>
          <w:snapToGrid w:val="0"/>
          <w:kern w:val="0"/>
          <w:sz w:val="24"/>
          <w:szCs w:val="24"/>
        </w:rPr>
        <w:t>为承办法官提供针对破产管理人的履职工作全流程监管功能，对破产管理人不同的节点设计不同的监管规则，并对破产管理人进行多维度的考核评分，督促破产管理人积极履行职责。同时便于法官了解整个案件的进展，对于案件的进程有整体把握，及时对管理人的工作进行督促，也让债权人对于破产案件的办理进行全方位的监督。实现与金融机构进行安全交互对接，对破产账户资金进行全线上资金监管。承办业务法官实现全流程资金监管、管理和审查，通过与管理人端进行深度配合和融合，实现破产资金账户信息的公开化、流程化、规范化。</w:t>
      </w:r>
    </w:p>
    <w:p>
      <w:pPr>
        <w:keepNext w:val="0"/>
        <w:keepLines w:val="0"/>
        <w:pageBreakBefore w:val="0"/>
        <w:widowControl w:val="0"/>
        <w:kinsoku/>
        <w:wordWrap/>
        <w:overflowPunct/>
        <w:topLinePunct w:val="0"/>
        <w:autoSpaceDE/>
        <w:autoSpaceDN/>
        <w:bidi w:val="0"/>
        <w:adjustRightInd/>
        <w:snapToGrid/>
        <w:spacing w:line="560" w:lineRule="exact"/>
        <w:ind w:firstLine="481" w:firstLineChars="200"/>
        <w:textAlignment w:val="auto"/>
        <w:outlineLvl w:val="1"/>
        <w:rPr>
          <w:rFonts w:hint="eastAsia" w:ascii="彩虹粗仿宋" w:hAnsi="彩虹粗仿宋" w:eastAsia="彩虹粗仿宋" w:cs="彩虹粗仿宋"/>
          <w:b/>
          <w:bCs w:val="0"/>
          <w:snapToGrid w:val="0"/>
          <w:kern w:val="0"/>
          <w:sz w:val="24"/>
          <w:szCs w:val="24"/>
        </w:rPr>
      </w:pPr>
      <w:r>
        <w:rPr>
          <w:rFonts w:hint="eastAsia" w:ascii="彩虹粗仿宋" w:hAnsi="彩虹粗仿宋" w:eastAsia="彩虹粗仿宋" w:cs="彩虹粗仿宋"/>
          <w:b/>
          <w:bCs w:val="0"/>
          <w:snapToGrid w:val="0"/>
          <w:kern w:val="0"/>
          <w:sz w:val="24"/>
          <w:szCs w:val="24"/>
        </w:rPr>
        <w:t>7</w:t>
      </w:r>
      <w:r>
        <w:rPr>
          <w:rFonts w:hint="eastAsia" w:ascii="彩虹粗仿宋" w:hAnsi="彩虹粗仿宋" w:eastAsia="彩虹粗仿宋" w:cs="彩虹粗仿宋"/>
          <w:b/>
          <w:bCs w:val="0"/>
          <w:snapToGrid w:val="0"/>
          <w:kern w:val="0"/>
          <w:sz w:val="24"/>
          <w:szCs w:val="24"/>
          <w:lang w:eastAsia="zh-CN"/>
        </w:rPr>
        <w:t>.</w:t>
      </w:r>
      <w:r>
        <w:rPr>
          <w:rFonts w:hint="eastAsia" w:ascii="彩虹粗仿宋" w:hAnsi="彩虹粗仿宋" w:eastAsia="彩虹粗仿宋" w:cs="彩虹粗仿宋"/>
          <w:b/>
          <w:bCs w:val="0"/>
          <w:snapToGrid w:val="0"/>
          <w:kern w:val="0"/>
          <w:sz w:val="24"/>
          <w:szCs w:val="24"/>
        </w:rPr>
        <w:t>内外网数据同步及业务协调平台</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outlineLvl w:val="1"/>
        <w:rPr>
          <w:rFonts w:hint="eastAsia" w:ascii="彩虹粗仿宋" w:hAnsi="彩虹粗仿宋" w:eastAsia="彩虹粗仿宋" w:cs="彩虹粗仿宋"/>
          <w:b w:val="0"/>
          <w:bCs/>
          <w:snapToGrid w:val="0"/>
          <w:kern w:val="0"/>
          <w:sz w:val="24"/>
          <w:szCs w:val="24"/>
        </w:rPr>
      </w:pPr>
      <w:r>
        <w:rPr>
          <w:rFonts w:hint="eastAsia" w:ascii="彩虹粗仿宋" w:hAnsi="彩虹粗仿宋" w:eastAsia="彩虹粗仿宋" w:cs="彩虹粗仿宋"/>
          <w:b w:val="0"/>
          <w:bCs/>
          <w:snapToGrid w:val="0"/>
          <w:kern w:val="0"/>
          <w:sz w:val="24"/>
          <w:szCs w:val="24"/>
        </w:rPr>
        <w:t>基于网络安全要求，破产案件管理平台与内网业务数据交互需通过光闸采用文件级交互方案，实现数据的双向同步。</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outlineLvl w:val="1"/>
        <w:rPr>
          <w:rFonts w:hint="eastAsia" w:ascii="彩虹粗仿宋" w:hAnsi="彩虹粗仿宋" w:eastAsia="彩虹粗仿宋" w:cs="彩虹粗仿宋"/>
          <w:b w:val="0"/>
          <w:bCs/>
          <w:snapToGrid w:val="0"/>
          <w:kern w:val="0"/>
          <w:sz w:val="24"/>
          <w:szCs w:val="24"/>
        </w:rPr>
      </w:pPr>
      <w:r>
        <w:rPr>
          <w:rFonts w:hint="eastAsia" w:ascii="彩虹粗仿宋" w:hAnsi="彩虹粗仿宋" w:eastAsia="彩虹粗仿宋" w:cs="彩虹粗仿宋"/>
          <w:b w:val="0"/>
          <w:bCs/>
          <w:snapToGrid w:val="0"/>
          <w:kern w:val="0"/>
          <w:sz w:val="24"/>
          <w:szCs w:val="24"/>
        </w:rPr>
        <w:t>（1）内网前置、互联网端需部署破产案件管理平台；</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outlineLvl w:val="1"/>
        <w:rPr>
          <w:rFonts w:hint="eastAsia" w:ascii="彩虹粗仿宋" w:hAnsi="彩虹粗仿宋" w:eastAsia="彩虹粗仿宋" w:cs="彩虹粗仿宋"/>
          <w:b w:val="0"/>
          <w:bCs/>
          <w:snapToGrid w:val="0"/>
          <w:kern w:val="0"/>
          <w:sz w:val="24"/>
          <w:szCs w:val="24"/>
        </w:rPr>
      </w:pPr>
      <w:r>
        <w:rPr>
          <w:rFonts w:hint="eastAsia" w:ascii="彩虹粗仿宋" w:hAnsi="彩虹粗仿宋" w:eastAsia="彩虹粗仿宋" w:cs="彩虹粗仿宋"/>
          <w:b w:val="0"/>
          <w:bCs/>
          <w:snapToGrid w:val="0"/>
          <w:kern w:val="0"/>
          <w:sz w:val="24"/>
          <w:szCs w:val="24"/>
        </w:rPr>
        <w:t>（2）内网前置部署数据采集、解析服务（生成内到外增量数据，解析外到内的增量数据），案件信息采集服务、平台接口服务、ftp服务，并挂接存储；</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outlineLvl w:val="1"/>
        <w:rPr>
          <w:rFonts w:hint="eastAsia" w:ascii="彩虹粗仿宋" w:hAnsi="彩虹粗仿宋" w:eastAsia="彩虹粗仿宋" w:cs="彩虹粗仿宋"/>
          <w:b w:val="0"/>
          <w:bCs/>
          <w:snapToGrid w:val="0"/>
          <w:kern w:val="0"/>
          <w:sz w:val="24"/>
          <w:szCs w:val="24"/>
        </w:rPr>
      </w:pPr>
      <w:r>
        <w:rPr>
          <w:rFonts w:hint="eastAsia" w:ascii="彩虹粗仿宋" w:hAnsi="彩虹粗仿宋" w:eastAsia="彩虹粗仿宋" w:cs="彩虹粗仿宋"/>
          <w:b w:val="0"/>
          <w:bCs/>
          <w:snapToGrid w:val="0"/>
          <w:kern w:val="0"/>
          <w:sz w:val="24"/>
          <w:szCs w:val="24"/>
        </w:rPr>
        <w:t>（3）互联网平台部署数据采集、解析服务（生成外到内增量数据，解析内到外的增量数据），平台接口服务、ftp服务、业务数据库，并挂接存储；</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outlineLvl w:val="1"/>
        <w:rPr>
          <w:rFonts w:hint="eastAsia" w:ascii="彩虹粗仿宋" w:hAnsi="彩虹粗仿宋" w:eastAsia="彩虹粗仿宋" w:cs="彩虹粗仿宋"/>
          <w:b w:val="0"/>
          <w:bCs/>
          <w:snapToGrid w:val="0"/>
          <w:kern w:val="0"/>
          <w:sz w:val="24"/>
          <w:szCs w:val="24"/>
        </w:rPr>
      </w:pPr>
      <w:r>
        <w:rPr>
          <w:rFonts w:hint="eastAsia" w:ascii="彩虹粗仿宋" w:hAnsi="彩虹粗仿宋" w:eastAsia="彩虹粗仿宋" w:cs="彩虹粗仿宋"/>
          <w:b w:val="0"/>
          <w:bCs/>
          <w:snapToGrid w:val="0"/>
          <w:kern w:val="0"/>
          <w:sz w:val="24"/>
          <w:szCs w:val="24"/>
        </w:rPr>
        <w:t>（4）部署单向光闸，基于XML文件实现业务数据的双向同步。</w:t>
      </w:r>
    </w:p>
    <w:p>
      <w:pPr>
        <w:keepNext w:val="0"/>
        <w:keepLines w:val="0"/>
        <w:pageBreakBefore w:val="0"/>
        <w:widowControl w:val="0"/>
        <w:kinsoku/>
        <w:wordWrap/>
        <w:overflowPunct/>
        <w:topLinePunct w:val="0"/>
        <w:autoSpaceDE/>
        <w:autoSpaceDN/>
        <w:bidi w:val="0"/>
        <w:adjustRightInd/>
        <w:snapToGrid/>
        <w:spacing w:line="560" w:lineRule="exact"/>
        <w:ind w:firstLine="481" w:firstLineChars="200"/>
        <w:textAlignment w:val="auto"/>
        <w:outlineLvl w:val="1"/>
        <w:rPr>
          <w:rFonts w:hint="eastAsia" w:ascii="彩虹粗仿宋" w:hAnsi="彩虹粗仿宋" w:eastAsia="彩虹粗仿宋" w:cs="彩虹粗仿宋"/>
          <w:b/>
          <w:bCs w:val="0"/>
          <w:snapToGrid w:val="0"/>
          <w:kern w:val="0"/>
          <w:sz w:val="24"/>
          <w:szCs w:val="24"/>
        </w:rPr>
      </w:pPr>
      <w:r>
        <w:rPr>
          <w:rFonts w:hint="eastAsia" w:ascii="彩虹粗仿宋" w:hAnsi="彩虹粗仿宋" w:eastAsia="彩虹粗仿宋" w:cs="彩虹粗仿宋"/>
          <w:b/>
          <w:bCs w:val="0"/>
          <w:snapToGrid w:val="0"/>
          <w:kern w:val="0"/>
          <w:sz w:val="24"/>
          <w:szCs w:val="24"/>
        </w:rPr>
        <w:t>8</w:t>
      </w:r>
      <w:r>
        <w:rPr>
          <w:rFonts w:hint="eastAsia" w:ascii="彩虹粗仿宋" w:hAnsi="彩虹粗仿宋" w:eastAsia="彩虹粗仿宋" w:cs="彩虹粗仿宋"/>
          <w:b/>
          <w:bCs w:val="0"/>
          <w:snapToGrid w:val="0"/>
          <w:kern w:val="0"/>
          <w:sz w:val="24"/>
          <w:szCs w:val="24"/>
          <w:lang w:eastAsia="zh-CN"/>
        </w:rPr>
        <w:t>.</w:t>
      </w:r>
      <w:r>
        <w:rPr>
          <w:rFonts w:hint="eastAsia" w:ascii="彩虹粗仿宋" w:hAnsi="彩虹粗仿宋" w:eastAsia="彩虹粗仿宋" w:cs="彩虹粗仿宋"/>
          <w:b/>
          <w:bCs w:val="0"/>
          <w:snapToGrid w:val="0"/>
          <w:kern w:val="0"/>
          <w:sz w:val="24"/>
          <w:szCs w:val="24"/>
        </w:rPr>
        <w:t>与银行信息交互</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outlineLvl w:val="1"/>
        <w:rPr>
          <w:rFonts w:hint="eastAsia" w:ascii="彩虹粗仿宋" w:hAnsi="彩虹粗仿宋" w:eastAsia="彩虹粗仿宋" w:cs="彩虹粗仿宋"/>
          <w:b w:val="0"/>
          <w:bCs/>
          <w:snapToGrid w:val="0"/>
          <w:kern w:val="0"/>
          <w:sz w:val="24"/>
          <w:szCs w:val="24"/>
        </w:rPr>
      </w:pPr>
      <w:r>
        <w:rPr>
          <w:rFonts w:hint="eastAsia" w:ascii="彩虹粗仿宋" w:hAnsi="彩虹粗仿宋" w:eastAsia="彩虹粗仿宋" w:cs="彩虹粗仿宋"/>
          <w:b w:val="0"/>
          <w:bCs/>
          <w:snapToGrid w:val="0"/>
          <w:kern w:val="0"/>
          <w:sz w:val="24"/>
          <w:szCs w:val="24"/>
        </w:rPr>
        <w:t>通过与银行的专线对接，无须重复记账，实现对破产案件的资金交易的实时监控，实现资金账户信息的公开化；实现与金融机构的破产资金交互的快速校验，根据指令和数据安全交互机制完成资金全流程交易。包括资金账户历史明细接口、实时余额查询接口、资金转账划拨（批量转账）接口、资金转账对账接口、转账划拨结果反馈接口等。</w:t>
      </w:r>
    </w:p>
    <w:p>
      <w:pPr>
        <w:keepNext w:val="0"/>
        <w:keepLines w:val="0"/>
        <w:pageBreakBefore w:val="0"/>
        <w:widowControl w:val="0"/>
        <w:kinsoku/>
        <w:wordWrap/>
        <w:overflowPunct/>
        <w:topLinePunct w:val="0"/>
        <w:autoSpaceDE/>
        <w:autoSpaceDN/>
        <w:bidi w:val="0"/>
        <w:adjustRightInd/>
        <w:snapToGrid/>
        <w:spacing w:line="560" w:lineRule="exact"/>
        <w:ind w:firstLine="481" w:firstLineChars="200"/>
        <w:textAlignment w:val="auto"/>
        <w:outlineLvl w:val="1"/>
        <w:rPr>
          <w:rFonts w:hint="eastAsia" w:ascii="彩虹粗仿宋" w:hAnsi="彩虹粗仿宋" w:eastAsia="彩虹粗仿宋" w:cs="彩虹粗仿宋"/>
          <w:b/>
          <w:bCs w:val="0"/>
          <w:snapToGrid w:val="0"/>
          <w:kern w:val="0"/>
          <w:sz w:val="24"/>
          <w:szCs w:val="24"/>
        </w:rPr>
      </w:pPr>
      <w:r>
        <w:rPr>
          <w:rFonts w:hint="eastAsia" w:ascii="彩虹粗仿宋" w:hAnsi="彩虹粗仿宋" w:eastAsia="彩虹粗仿宋" w:cs="彩虹粗仿宋"/>
          <w:b/>
          <w:bCs w:val="0"/>
          <w:snapToGrid w:val="0"/>
          <w:kern w:val="0"/>
          <w:sz w:val="24"/>
          <w:szCs w:val="24"/>
        </w:rPr>
        <w:t>9</w:t>
      </w:r>
      <w:r>
        <w:rPr>
          <w:rFonts w:hint="eastAsia" w:ascii="彩虹粗仿宋" w:hAnsi="彩虹粗仿宋" w:eastAsia="彩虹粗仿宋" w:cs="彩虹粗仿宋"/>
          <w:b/>
          <w:bCs w:val="0"/>
          <w:snapToGrid w:val="0"/>
          <w:kern w:val="0"/>
          <w:sz w:val="24"/>
          <w:szCs w:val="24"/>
          <w:lang w:eastAsia="zh-CN"/>
        </w:rPr>
        <w:t>.</w:t>
      </w:r>
      <w:r>
        <w:rPr>
          <w:rFonts w:hint="eastAsia" w:ascii="彩虹粗仿宋" w:hAnsi="彩虹粗仿宋" w:eastAsia="彩虹粗仿宋" w:cs="彩虹粗仿宋"/>
          <w:b/>
          <w:bCs w:val="0"/>
          <w:snapToGrid w:val="0"/>
          <w:kern w:val="0"/>
          <w:sz w:val="24"/>
          <w:szCs w:val="24"/>
        </w:rPr>
        <w:t>管理人材料自动入卷机制</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outlineLvl w:val="1"/>
        <w:rPr>
          <w:rFonts w:hint="eastAsia" w:ascii="彩虹粗仿宋" w:hAnsi="彩虹粗仿宋" w:eastAsia="彩虹粗仿宋" w:cs="彩虹粗仿宋"/>
          <w:b w:val="0"/>
          <w:bCs/>
          <w:snapToGrid w:val="0"/>
          <w:kern w:val="0"/>
          <w:sz w:val="24"/>
          <w:szCs w:val="24"/>
        </w:rPr>
      </w:pPr>
      <w:r>
        <w:rPr>
          <w:rFonts w:hint="eastAsia" w:ascii="彩虹粗仿宋" w:hAnsi="彩虹粗仿宋" w:eastAsia="彩虹粗仿宋" w:cs="彩虹粗仿宋"/>
          <w:b w:val="0"/>
          <w:bCs/>
          <w:snapToGrid w:val="0"/>
          <w:kern w:val="0"/>
          <w:sz w:val="24"/>
          <w:szCs w:val="24"/>
        </w:rPr>
        <w:t>根据最高人民法院《关于推进电子卷宗随案同步生成的规定》及司法全程留痕要求，管理人通过智破系统提交的所有案件材料（含附件）均需完整归集至案件电子卷宗。</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outlineLvl w:val="1"/>
        <w:rPr>
          <w:rFonts w:hint="eastAsia" w:ascii="彩虹粗仿宋" w:hAnsi="彩虹粗仿宋" w:eastAsia="彩虹粗仿宋" w:cs="彩虹粗仿宋"/>
          <w:b w:val="0"/>
          <w:bCs/>
          <w:snapToGrid w:val="0"/>
          <w:kern w:val="0"/>
          <w:sz w:val="24"/>
          <w:szCs w:val="24"/>
        </w:rPr>
      </w:pPr>
      <w:r>
        <w:rPr>
          <w:rFonts w:hint="eastAsia" w:ascii="彩虹粗仿宋" w:hAnsi="彩虹粗仿宋" w:eastAsia="彩虹粗仿宋" w:cs="彩虹粗仿宋"/>
          <w:b w:val="0"/>
          <w:bCs/>
          <w:snapToGrid w:val="0"/>
          <w:kern w:val="0"/>
          <w:sz w:val="24"/>
          <w:szCs w:val="24"/>
        </w:rPr>
        <w:t>具体开发内容如下：</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outlineLvl w:val="1"/>
        <w:rPr>
          <w:rFonts w:hint="eastAsia" w:ascii="彩虹粗仿宋" w:hAnsi="彩虹粗仿宋" w:eastAsia="彩虹粗仿宋" w:cs="彩虹粗仿宋"/>
          <w:b w:val="0"/>
          <w:bCs/>
          <w:snapToGrid w:val="0"/>
          <w:kern w:val="0"/>
          <w:sz w:val="24"/>
          <w:szCs w:val="24"/>
        </w:rPr>
      </w:pPr>
      <w:r>
        <w:rPr>
          <w:rFonts w:hint="eastAsia" w:ascii="彩虹粗仿宋" w:hAnsi="彩虹粗仿宋" w:eastAsia="彩虹粗仿宋" w:cs="彩虹粗仿宋"/>
          <w:b w:val="0"/>
          <w:bCs/>
          <w:snapToGrid w:val="0"/>
          <w:kern w:val="0"/>
          <w:sz w:val="24"/>
          <w:szCs w:val="24"/>
          <w:lang w:eastAsia="zh-CN"/>
        </w:rPr>
        <w:t>（</w:t>
      </w:r>
      <w:r>
        <w:rPr>
          <w:rFonts w:hint="eastAsia" w:ascii="彩虹粗仿宋" w:hAnsi="彩虹粗仿宋" w:eastAsia="彩虹粗仿宋" w:cs="彩虹粗仿宋"/>
          <w:b w:val="0"/>
          <w:bCs/>
          <w:snapToGrid w:val="0"/>
          <w:kern w:val="0"/>
          <w:sz w:val="24"/>
          <w:szCs w:val="24"/>
          <w:lang w:val="en-US" w:eastAsia="zh-CN"/>
        </w:rPr>
        <w:t>1</w:t>
      </w:r>
      <w:r>
        <w:rPr>
          <w:rFonts w:hint="eastAsia" w:ascii="彩虹粗仿宋" w:hAnsi="彩虹粗仿宋" w:eastAsia="彩虹粗仿宋" w:cs="彩虹粗仿宋"/>
          <w:b w:val="0"/>
          <w:bCs/>
          <w:snapToGrid w:val="0"/>
          <w:kern w:val="0"/>
          <w:sz w:val="24"/>
          <w:szCs w:val="24"/>
          <w:lang w:eastAsia="zh-CN"/>
        </w:rPr>
        <w:t>）</w:t>
      </w:r>
      <w:r>
        <w:rPr>
          <w:rFonts w:hint="eastAsia" w:ascii="彩虹粗仿宋" w:hAnsi="彩虹粗仿宋" w:eastAsia="彩虹粗仿宋" w:cs="彩虹粗仿宋"/>
          <w:b w:val="0"/>
          <w:bCs/>
          <w:snapToGrid w:val="0"/>
          <w:kern w:val="0"/>
          <w:sz w:val="24"/>
          <w:szCs w:val="24"/>
        </w:rPr>
        <w:t>定时任务调度机制，以T+1模式将新增材料同步至全国法院“一张网”电子卷宗系统；</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outlineLvl w:val="1"/>
        <w:rPr>
          <w:rFonts w:hint="eastAsia" w:ascii="彩虹粗仿宋" w:hAnsi="彩虹粗仿宋" w:eastAsia="彩虹粗仿宋" w:cs="彩虹粗仿宋"/>
          <w:b w:val="0"/>
          <w:bCs/>
          <w:snapToGrid w:val="0"/>
          <w:kern w:val="0"/>
          <w:sz w:val="24"/>
          <w:szCs w:val="24"/>
        </w:rPr>
      </w:pPr>
      <w:r>
        <w:rPr>
          <w:rFonts w:hint="eastAsia" w:ascii="彩虹粗仿宋" w:hAnsi="彩虹粗仿宋" w:eastAsia="彩虹粗仿宋" w:cs="彩虹粗仿宋"/>
          <w:b w:val="0"/>
          <w:bCs/>
          <w:snapToGrid w:val="0"/>
          <w:kern w:val="0"/>
          <w:sz w:val="24"/>
          <w:szCs w:val="24"/>
          <w:lang w:eastAsia="zh-CN"/>
        </w:rPr>
        <w:t>（</w:t>
      </w:r>
      <w:r>
        <w:rPr>
          <w:rFonts w:hint="eastAsia" w:ascii="彩虹粗仿宋" w:hAnsi="彩虹粗仿宋" w:eastAsia="彩虹粗仿宋" w:cs="彩虹粗仿宋"/>
          <w:b w:val="0"/>
          <w:bCs/>
          <w:snapToGrid w:val="0"/>
          <w:kern w:val="0"/>
          <w:sz w:val="24"/>
          <w:szCs w:val="24"/>
          <w:lang w:val="en-US" w:eastAsia="zh-CN"/>
        </w:rPr>
        <w:t>2</w:t>
      </w:r>
      <w:r>
        <w:rPr>
          <w:rFonts w:hint="eastAsia" w:ascii="彩虹粗仿宋" w:hAnsi="彩虹粗仿宋" w:eastAsia="彩虹粗仿宋" w:cs="彩虹粗仿宋"/>
          <w:b w:val="0"/>
          <w:bCs/>
          <w:snapToGrid w:val="0"/>
          <w:kern w:val="0"/>
          <w:sz w:val="24"/>
          <w:szCs w:val="24"/>
          <w:lang w:eastAsia="zh-CN"/>
        </w:rPr>
        <w:t>）</w:t>
      </w:r>
      <w:r>
        <w:rPr>
          <w:rFonts w:hint="eastAsia" w:ascii="彩虹粗仿宋" w:hAnsi="彩虹粗仿宋" w:eastAsia="彩虹粗仿宋" w:cs="彩虹粗仿宋"/>
          <w:b w:val="0"/>
          <w:bCs/>
          <w:snapToGrid w:val="0"/>
          <w:kern w:val="0"/>
          <w:sz w:val="24"/>
          <w:szCs w:val="24"/>
        </w:rPr>
        <w:t>严格遵循《人民法院诉讼卷宗目录标准》，实现材料与案件目录节点的精准映射；</w:t>
      </w:r>
    </w:p>
    <w:p>
      <w:pPr>
        <w:keepNext w:val="0"/>
        <w:keepLines w:val="0"/>
        <w:pageBreakBefore w:val="0"/>
        <w:widowControl w:val="0"/>
        <w:kinsoku/>
        <w:wordWrap/>
        <w:overflowPunct/>
        <w:topLinePunct w:val="0"/>
        <w:autoSpaceDE/>
        <w:autoSpaceDN/>
        <w:bidi w:val="0"/>
        <w:adjustRightInd/>
        <w:snapToGrid/>
        <w:spacing w:line="560" w:lineRule="exact"/>
        <w:ind w:firstLine="481" w:firstLineChars="200"/>
        <w:textAlignment w:val="auto"/>
        <w:outlineLvl w:val="1"/>
        <w:rPr>
          <w:rFonts w:hint="eastAsia" w:ascii="彩虹粗仿宋" w:hAnsi="彩虹粗仿宋" w:eastAsia="彩虹粗仿宋" w:cs="彩虹粗仿宋"/>
          <w:b/>
          <w:bCs w:val="0"/>
          <w:snapToGrid w:val="0"/>
          <w:kern w:val="0"/>
          <w:sz w:val="24"/>
          <w:szCs w:val="24"/>
        </w:rPr>
      </w:pPr>
      <w:r>
        <w:rPr>
          <w:rFonts w:hint="eastAsia" w:ascii="彩虹粗仿宋" w:hAnsi="彩虹粗仿宋" w:eastAsia="彩虹粗仿宋" w:cs="彩虹粗仿宋"/>
          <w:b/>
          <w:bCs w:val="0"/>
          <w:snapToGrid w:val="0"/>
          <w:kern w:val="0"/>
          <w:sz w:val="24"/>
          <w:szCs w:val="24"/>
        </w:rPr>
        <w:t>10</w:t>
      </w:r>
      <w:r>
        <w:rPr>
          <w:rFonts w:hint="eastAsia" w:ascii="彩虹粗仿宋" w:hAnsi="彩虹粗仿宋" w:eastAsia="彩虹粗仿宋" w:cs="彩虹粗仿宋"/>
          <w:b/>
          <w:bCs w:val="0"/>
          <w:snapToGrid w:val="0"/>
          <w:kern w:val="0"/>
          <w:sz w:val="24"/>
          <w:szCs w:val="24"/>
          <w:lang w:eastAsia="zh-CN"/>
        </w:rPr>
        <w:t>.</w:t>
      </w:r>
      <w:r>
        <w:rPr>
          <w:rFonts w:hint="eastAsia" w:ascii="彩虹粗仿宋" w:hAnsi="彩虹粗仿宋" w:eastAsia="彩虹粗仿宋" w:cs="彩虹粗仿宋"/>
          <w:b/>
          <w:bCs w:val="0"/>
          <w:snapToGrid w:val="0"/>
          <w:kern w:val="0"/>
          <w:sz w:val="24"/>
          <w:szCs w:val="24"/>
        </w:rPr>
        <w:t>转账申请附件强制提交要求</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outlineLvl w:val="1"/>
        <w:rPr>
          <w:rFonts w:hint="eastAsia" w:ascii="彩虹粗仿宋" w:hAnsi="彩虹粗仿宋" w:eastAsia="彩虹粗仿宋" w:cs="彩虹粗仿宋"/>
          <w:b w:val="0"/>
          <w:bCs/>
          <w:snapToGrid w:val="0"/>
          <w:kern w:val="0"/>
          <w:sz w:val="24"/>
          <w:szCs w:val="24"/>
          <w:lang w:val="en-US" w:eastAsia="zh-CN"/>
        </w:rPr>
      </w:pPr>
      <w:r>
        <w:rPr>
          <w:rFonts w:hint="eastAsia" w:ascii="彩虹粗仿宋" w:hAnsi="彩虹粗仿宋" w:eastAsia="彩虹粗仿宋" w:cs="彩虹粗仿宋"/>
          <w:b w:val="0"/>
          <w:bCs/>
          <w:snapToGrid w:val="0"/>
          <w:kern w:val="0"/>
          <w:sz w:val="24"/>
          <w:szCs w:val="24"/>
        </w:rPr>
        <w:t>依据《企业破产法》第六十九条、最高人民法院《关于适用〈企业破产法〉若干问题的规定（三）》第十五条及《企业破产案件保障资金的管理和使用暂行办法》之规定，管理人申请资金划付须提交经审核的支出凭证，确保资金使用合规性。在系统上实现管理人申请破产资金转账时，必须提交经审核的申请附件作为必要依据；未附相关附件的申请，系统将不予受理</w:t>
      </w:r>
      <w:r>
        <w:rPr>
          <w:rFonts w:hint="eastAsia" w:ascii="彩虹粗仿宋" w:hAnsi="彩虹粗仿宋" w:eastAsia="彩虹粗仿宋" w:cs="彩虹粗仿宋"/>
          <w:b w:val="0"/>
          <w:bCs/>
          <w:snapToGrid w:val="0"/>
          <w:kern w:val="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481" w:firstLineChars="200"/>
        <w:textAlignment w:val="auto"/>
        <w:outlineLvl w:val="1"/>
        <w:rPr>
          <w:rFonts w:hint="eastAsia" w:ascii="彩虹粗仿宋" w:hAnsi="彩虹粗仿宋" w:eastAsia="彩虹粗仿宋" w:cs="彩虹粗仿宋"/>
          <w:b/>
          <w:snapToGrid w:val="0"/>
          <w:kern w:val="0"/>
          <w:sz w:val="24"/>
          <w:szCs w:val="24"/>
        </w:rPr>
      </w:pPr>
      <w:r>
        <w:rPr>
          <w:rFonts w:hint="eastAsia" w:ascii="彩虹粗仿宋" w:hAnsi="彩虹粗仿宋" w:eastAsia="彩虹粗仿宋" w:cs="彩虹粗仿宋"/>
          <w:b/>
          <w:snapToGrid w:val="0"/>
          <w:kern w:val="0"/>
          <w:sz w:val="24"/>
          <w:szCs w:val="24"/>
        </w:rPr>
        <w:t>11</w:t>
      </w:r>
      <w:r>
        <w:rPr>
          <w:rFonts w:hint="eastAsia" w:ascii="彩虹粗仿宋" w:hAnsi="彩虹粗仿宋" w:eastAsia="彩虹粗仿宋" w:cs="彩虹粗仿宋"/>
          <w:b/>
          <w:snapToGrid w:val="0"/>
          <w:kern w:val="0"/>
          <w:sz w:val="24"/>
          <w:szCs w:val="24"/>
          <w:lang w:eastAsia="zh-CN"/>
        </w:rPr>
        <w:t>.</w:t>
      </w:r>
      <w:r>
        <w:rPr>
          <w:rFonts w:hint="eastAsia" w:ascii="彩虹粗仿宋" w:hAnsi="彩虹粗仿宋" w:eastAsia="彩虹粗仿宋" w:cs="彩虹粗仿宋"/>
          <w:b/>
          <w:snapToGrid w:val="0"/>
          <w:kern w:val="0"/>
          <w:sz w:val="24"/>
          <w:szCs w:val="24"/>
        </w:rPr>
        <w:t>破产资金月度使用限额制度</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outlineLvl w:val="1"/>
        <w:rPr>
          <w:rFonts w:hint="eastAsia" w:ascii="彩虹粗仿宋" w:hAnsi="彩虹粗仿宋" w:eastAsia="彩虹粗仿宋" w:cs="彩虹粗仿宋"/>
          <w:b w:val="0"/>
          <w:bCs/>
          <w:snapToGrid w:val="0"/>
          <w:kern w:val="0"/>
          <w:sz w:val="24"/>
          <w:szCs w:val="24"/>
          <w:lang w:eastAsia="zh-CN"/>
        </w:rPr>
      </w:pPr>
      <w:r>
        <w:rPr>
          <w:rFonts w:hint="eastAsia" w:ascii="彩虹粗仿宋" w:hAnsi="彩虹粗仿宋" w:eastAsia="彩虹粗仿宋" w:cs="彩虹粗仿宋"/>
          <w:b w:val="0"/>
          <w:bCs/>
          <w:snapToGrid w:val="0"/>
          <w:kern w:val="0"/>
          <w:sz w:val="24"/>
          <w:szCs w:val="24"/>
        </w:rPr>
        <w:t>依据案件规模、债务总额、资产处置进度等核心指标，由法院在审理阶段核定管理人月度资金使用限额（以人民币为单位，精确至百元）。管理人可在核定额度内自主支配资金，用于支付破产费用、职工债权等必要支出。有效平衡管理人履职自主权与司法监管刚性，杜绝资金使用无序化。实施破产资金月度限额管理，管理人可在法院核定的月度额度内自主支配资金，超限申请须经审批</w:t>
      </w:r>
      <w:r>
        <w:rPr>
          <w:rFonts w:hint="eastAsia" w:ascii="彩虹粗仿宋" w:hAnsi="彩虹粗仿宋" w:eastAsia="彩虹粗仿宋" w:cs="彩虹粗仿宋"/>
          <w:b w:val="0"/>
          <w:bCs/>
          <w:snapToGrid w:val="0"/>
          <w:kern w:val="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481" w:firstLineChars="200"/>
        <w:textAlignment w:val="auto"/>
        <w:outlineLvl w:val="1"/>
        <w:rPr>
          <w:rFonts w:hint="eastAsia" w:ascii="彩虹粗仿宋" w:hAnsi="彩虹粗仿宋" w:eastAsia="彩虹粗仿宋" w:cs="彩虹粗仿宋"/>
          <w:b/>
          <w:bCs w:val="0"/>
          <w:snapToGrid w:val="0"/>
          <w:kern w:val="0"/>
          <w:sz w:val="24"/>
          <w:szCs w:val="24"/>
        </w:rPr>
      </w:pPr>
      <w:r>
        <w:rPr>
          <w:rFonts w:hint="eastAsia" w:ascii="彩虹粗仿宋" w:hAnsi="彩虹粗仿宋" w:eastAsia="彩虹粗仿宋" w:cs="彩虹粗仿宋"/>
          <w:b/>
          <w:bCs w:val="0"/>
          <w:snapToGrid w:val="0"/>
          <w:kern w:val="0"/>
          <w:sz w:val="24"/>
          <w:szCs w:val="24"/>
        </w:rPr>
        <w:t>12</w:t>
      </w:r>
      <w:r>
        <w:rPr>
          <w:rFonts w:hint="eastAsia" w:ascii="彩虹粗仿宋" w:hAnsi="彩虹粗仿宋" w:eastAsia="彩虹粗仿宋" w:cs="彩虹粗仿宋"/>
          <w:b/>
          <w:bCs w:val="0"/>
          <w:snapToGrid w:val="0"/>
          <w:kern w:val="0"/>
          <w:sz w:val="24"/>
          <w:szCs w:val="24"/>
          <w:lang w:eastAsia="zh-CN"/>
        </w:rPr>
        <w:t>.</w:t>
      </w:r>
      <w:r>
        <w:rPr>
          <w:rFonts w:hint="eastAsia" w:ascii="彩虹粗仿宋" w:hAnsi="彩虹粗仿宋" w:eastAsia="彩虹粗仿宋" w:cs="彩虹粗仿宋"/>
          <w:b/>
          <w:bCs w:val="0"/>
          <w:snapToGrid w:val="0"/>
          <w:kern w:val="0"/>
          <w:sz w:val="24"/>
          <w:szCs w:val="24"/>
        </w:rPr>
        <w:t>转账限额授权管理机制</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outlineLvl w:val="1"/>
        <w:rPr>
          <w:rFonts w:hint="eastAsia" w:ascii="彩虹粗仿宋" w:hAnsi="彩虹粗仿宋" w:eastAsia="彩虹粗仿宋" w:cs="彩虹粗仿宋"/>
          <w:b w:val="0"/>
          <w:bCs/>
          <w:snapToGrid w:val="0"/>
          <w:kern w:val="0"/>
          <w:sz w:val="24"/>
          <w:szCs w:val="24"/>
          <w:lang w:eastAsia="zh-CN"/>
        </w:rPr>
      </w:pPr>
      <w:r>
        <w:rPr>
          <w:rFonts w:hint="eastAsia" w:ascii="彩虹粗仿宋" w:hAnsi="彩虹粗仿宋" w:eastAsia="彩虹粗仿宋" w:cs="彩虹粗仿宋"/>
          <w:b w:val="0"/>
          <w:bCs/>
          <w:snapToGrid w:val="0"/>
          <w:kern w:val="0"/>
          <w:sz w:val="24"/>
          <w:szCs w:val="24"/>
        </w:rPr>
        <w:t>为优化司法资源配置，提升案件办理效率，法院授权法官助理或书记员在案件管理中代为设置及调整转账限额，有效化解法官事务性负担，确保限额调整在司法监管框架内高效合规运行</w:t>
      </w:r>
      <w:r>
        <w:rPr>
          <w:rFonts w:hint="eastAsia" w:ascii="彩虹粗仿宋" w:hAnsi="彩虹粗仿宋" w:eastAsia="彩虹粗仿宋" w:cs="彩虹粗仿宋"/>
          <w:b w:val="0"/>
          <w:bCs/>
          <w:snapToGrid w:val="0"/>
          <w:kern w:val="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481" w:firstLineChars="200"/>
        <w:textAlignment w:val="auto"/>
        <w:outlineLvl w:val="1"/>
        <w:rPr>
          <w:rFonts w:hint="eastAsia" w:ascii="彩虹粗仿宋" w:hAnsi="彩虹粗仿宋" w:eastAsia="彩虹粗仿宋" w:cs="彩虹粗仿宋"/>
          <w:b/>
          <w:snapToGrid w:val="0"/>
          <w:kern w:val="0"/>
          <w:sz w:val="24"/>
          <w:szCs w:val="24"/>
        </w:rPr>
      </w:pPr>
      <w:r>
        <w:rPr>
          <w:rFonts w:hint="eastAsia" w:ascii="彩虹粗仿宋" w:hAnsi="彩虹粗仿宋" w:eastAsia="彩虹粗仿宋" w:cs="彩虹粗仿宋"/>
          <w:b/>
          <w:snapToGrid w:val="0"/>
          <w:kern w:val="0"/>
          <w:sz w:val="24"/>
          <w:szCs w:val="24"/>
        </w:rPr>
        <w:t>13</w:t>
      </w:r>
      <w:r>
        <w:rPr>
          <w:rFonts w:hint="eastAsia" w:ascii="彩虹粗仿宋" w:hAnsi="彩虹粗仿宋" w:eastAsia="彩虹粗仿宋" w:cs="彩虹粗仿宋"/>
          <w:b/>
          <w:snapToGrid w:val="0"/>
          <w:kern w:val="0"/>
          <w:sz w:val="24"/>
          <w:szCs w:val="24"/>
          <w:lang w:eastAsia="zh-CN"/>
        </w:rPr>
        <w:t>.</w:t>
      </w:r>
      <w:r>
        <w:rPr>
          <w:rFonts w:hint="eastAsia" w:ascii="彩虹粗仿宋" w:hAnsi="彩虹粗仿宋" w:eastAsia="彩虹粗仿宋" w:cs="彩虹粗仿宋"/>
          <w:b/>
          <w:snapToGrid w:val="0"/>
          <w:kern w:val="0"/>
          <w:sz w:val="24"/>
          <w:szCs w:val="24"/>
        </w:rPr>
        <w:t>清远摇号功能</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outlineLvl w:val="1"/>
        <w:rPr>
          <w:rFonts w:hint="eastAsia" w:ascii="彩虹粗仿宋" w:hAnsi="彩虹粗仿宋" w:eastAsia="彩虹粗仿宋" w:cs="彩虹粗仿宋"/>
          <w:b w:val="0"/>
          <w:bCs/>
          <w:snapToGrid w:val="0"/>
          <w:kern w:val="0"/>
          <w:sz w:val="24"/>
          <w:szCs w:val="24"/>
          <w:lang w:eastAsia="zh-CN"/>
        </w:rPr>
      </w:pPr>
      <w:r>
        <w:rPr>
          <w:rFonts w:hint="eastAsia" w:ascii="彩虹粗仿宋" w:hAnsi="彩虹粗仿宋" w:eastAsia="彩虹粗仿宋" w:cs="彩虹粗仿宋"/>
          <w:b w:val="0"/>
          <w:bCs/>
          <w:snapToGrid w:val="0"/>
          <w:kern w:val="0"/>
          <w:sz w:val="24"/>
          <w:szCs w:val="24"/>
        </w:rPr>
        <w:t>严格依据清远市中级人民法院破产案件管理人摇珠规则，定制开发全流程线上摇号功能，支持摇号过程实时录屏，后台自动保存视频至服务器，保障程序公开透明</w:t>
      </w:r>
      <w:r>
        <w:rPr>
          <w:rFonts w:hint="eastAsia" w:ascii="彩虹粗仿宋" w:hAnsi="彩虹粗仿宋" w:eastAsia="彩虹粗仿宋" w:cs="彩虹粗仿宋"/>
          <w:b w:val="0"/>
          <w:bCs/>
          <w:snapToGrid w:val="0"/>
          <w:kern w:val="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481" w:firstLineChars="200"/>
        <w:textAlignment w:val="auto"/>
        <w:outlineLvl w:val="1"/>
        <w:rPr>
          <w:rFonts w:hint="eastAsia" w:ascii="彩虹粗仿宋" w:hAnsi="彩虹粗仿宋" w:eastAsia="彩虹粗仿宋" w:cs="彩虹粗仿宋"/>
          <w:b/>
          <w:snapToGrid w:val="0"/>
          <w:kern w:val="0"/>
          <w:sz w:val="24"/>
          <w:szCs w:val="24"/>
        </w:rPr>
      </w:pPr>
      <w:r>
        <w:rPr>
          <w:rFonts w:hint="eastAsia" w:ascii="彩虹粗仿宋" w:hAnsi="彩虹粗仿宋" w:eastAsia="彩虹粗仿宋" w:cs="彩虹粗仿宋"/>
          <w:b/>
          <w:snapToGrid w:val="0"/>
          <w:kern w:val="0"/>
          <w:sz w:val="24"/>
          <w:szCs w:val="24"/>
        </w:rPr>
        <w:t>14</w:t>
      </w:r>
      <w:r>
        <w:rPr>
          <w:rFonts w:hint="eastAsia" w:ascii="彩虹粗仿宋" w:hAnsi="彩虹粗仿宋" w:eastAsia="彩虹粗仿宋" w:cs="彩虹粗仿宋"/>
          <w:b/>
          <w:snapToGrid w:val="0"/>
          <w:kern w:val="0"/>
          <w:sz w:val="24"/>
          <w:szCs w:val="24"/>
          <w:lang w:eastAsia="zh-CN"/>
        </w:rPr>
        <w:t>.</w:t>
      </w:r>
      <w:r>
        <w:rPr>
          <w:rFonts w:hint="eastAsia" w:ascii="彩虹粗仿宋" w:hAnsi="彩虹粗仿宋" w:eastAsia="彩虹粗仿宋" w:cs="彩虹粗仿宋"/>
          <w:b/>
          <w:snapToGrid w:val="0"/>
          <w:kern w:val="0"/>
          <w:sz w:val="24"/>
          <w:szCs w:val="24"/>
        </w:rPr>
        <w:t>管理人工作评分系统建设</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outlineLvl w:val="1"/>
        <w:rPr>
          <w:rFonts w:hint="eastAsia" w:ascii="彩虹粗仿宋" w:hAnsi="彩虹粗仿宋" w:eastAsia="彩虹粗仿宋" w:cs="彩虹粗仿宋"/>
          <w:b w:val="0"/>
          <w:bCs/>
          <w:snapToGrid w:val="0"/>
          <w:kern w:val="0"/>
          <w:sz w:val="24"/>
          <w:szCs w:val="24"/>
        </w:rPr>
      </w:pPr>
      <w:r>
        <w:rPr>
          <w:rFonts w:hint="eastAsia" w:ascii="彩虹粗仿宋" w:hAnsi="彩虹粗仿宋" w:eastAsia="彩虹粗仿宋" w:cs="彩虹粗仿宋"/>
          <w:b w:val="0"/>
          <w:bCs/>
          <w:snapToGrid w:val="0"/>
          <w:kern w:val="0"/>
          <w:sz w:val="24"/>
          <w:szCs w:val="24"/>
        </w:rPr>
        <w:t>依据《企业破产案件管理人工作监督办法》（2020年2月27日发布），构建智能化管理人工作评分体系，系统自动统计管理人承办案件得分，实现量化考核。评分结果作为管理人分级管理、考核评优、淘汰退出的核心依据，有效推动管理人履职从“被动合规”向“主动提质”转型，实现《管理办法》第二十六条关于“建立管理人动态评价机制”的制度落地。</w:t>
      </w:r>
    </w:p>
    <w:p>
      <w:pPr>
        <w:keepNext w:val="0"/>
        <w:keepLines w:val="0"/>
        <w:pageBreakBefore w:val="0"/>
        <w:widowControl w:val="0"/>
        <w:kinsoku/>
        <w:wordWrap/>
        <w:overflowPunct/>
        <w:topLinePunct w:val="0"/>
        <w:autoSpaceDE/>
        <w:autoSpaceDN/>
        <w:bidi w:val="0"/>
        <w:adjustRightInd/>
        <w:snapToGrid/>
        <w:spacing w:line="560" w:lineRule="exact"/>
        <w:ind w:firstLine="481" w:firstLineChars="200"/>
        <w:textAlignment w:val="auto"/>
        <w:outlineLvl w:val="1"/>
        <w:rPr>
          <w:rFonts w:hint="eastAsia" w:ascii="彩虹粗仿宋" w:hAnsi="彩虹粗仿宋" w:eastAsia="彩虹粗仿宋" w:cs="彩虹粗仿宋"/>
          <w:b/>
          <w:snapToGrid w:val="0"/>
          <w:kern w:val="0"/>
          <w:sz w:val="24"/>
          <w:szCs w:val="24"/>
        </w:rPr>
      </w:pPr>
      <w:r>
        <w:rPr>
          <w:rFonts w:hint="eastAsia" w:ascii="彩虹粗仿宋" w:hAnsi="彩虹粗仿宋" w:eastAsia="彩虹粗仿宋" w:cs="彩虹粗仿宋"/>
          <w:b/>
          <w:snapToGrid w:val="0"/>
          <w:kern w:val="0"/>
          <w:sz w:val="24"/>
          <w:szCs w:val="24"/>
        </w:rPr>
        <w:t>15</w:t>
      </w:r>
      <w:r>
        <w:rPr>
          <w:rFonts w:hint="eastAsia" w:ascii="彩虹粗仿宋" w:hAnsi="彩虹粗仿宋" w:eastAsia="彩虹粗仿宋" w:cs="彩虹粗仿宋"/>
          <w:b/>
          <w:snapToGrid w:val="0"/>
          <w:kern w:val="0"/>
          <w:sz w:val="24"/>
          <w:szCs w:val="24"/>
          <w:lang w:eastAsia="zh-CN"/>
        </w:rPr>
        <w:t>.</w:t>
      </w:r>
      <w:r>
        <w:rPr>
          <w:rFonts w:hint="eastAsia" w:ascii="彩虹粗仿宋" w:hAnsi="彩虹粗仿宋" w:eastAsia="彩虹粗仿宋" w:cs="彩虹粗仿宋"/>
          <w:b/>
          <w:snapToGrid w:val="0"/>
          <w:kern w:val="0"/>
          <w:sz w:val="24"/>
          <w:szCs w:val="24"/>
        </w:rPr>
        <w:t>全国法院“一张网”系统对接</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outlineLvl w:val="1"/>
        <w:rPr>
          <w:rFonts w:hint="eastAsia" w:ascii="彩虹粗仿宋" w:hAnsi="彩虹粗仿宋" w:eastAsia="彩虹粗仿宋" w:cs="彩虹粗仿宋"/>
          <w:b w:val="0"/>
          <w:bCs/>
          <w:snapToGrid w:val="0"/>
          <w:kern w:val="0"/>
          <w:sz w:val="24"/>
          <w:szCs w:val="24"/>
          <w:lang w:eastAsia="zh-CN"/>
        </w:rPr>
      </w:pPr>
      <w:r>
        <w:rPr>
          <w:rFonts w:hint="eastAsia" w:ascii="彩虹粗仿宋" w:hAnsi="彩虹粗仿宋" w:eastAsia="彩虹粗仿宋" w:cs="彩虹粗仿宋"/>
          <w:b w:val="0"/>
          <w:bCs/>
          <w:snapToGrid w:val="0"/>
          <w:kern w:val="0"/>
          <w:sz w:val="24"/>
          <w:szCs w:val="24"/>
        </w:rPr>
        <w:t>为了彻底消除跨系统数据孤岛，为全国破产审判协同治理提供坚实数据支撑，有效提升司法信息化水平与案件处理效率。严格遵循《全国法院“一张网”破产清算模块外部对接指引》，开发标准化接口，实现案件信息、电子文书、公告通知等数据实时互通</w:t>
      </w:r>
      <w:r>
        <w:rPr>
          <w:rFonts w:hint="eastAsia" w:ascii="彩虹粗仿宋" w:hAnsi="彩虹粗仿宋" w:eastAsia="彩虹粗仿宋" w:cs="彩虹粗仿宋"/>
          <w:b w:val="0"/>
          <w:bCs/>
          <w:snapToGrid w:val="0"/>
          <w:kern w:val="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481" w:firstLineChars="200"/>
        <w:textAlignment w:val="auto"/>
        <w:outlineLvl w:val="1"/>
        <w:rPr>
          <w:rFonts w:hint="eastAsia" w:ascii="彩虹粗仿宋" w:hAnsi="彩虹粗仿宋" w:eastAsia="彩虹粗仿宋" w:cs="彩虹粗仿宋"/>
          <w:b/>
          <w:snapToGrid w:val="0"/>
          <w:kern w:val="0"/>
          <w:sz w:val="24"/>
          <w:szCs w:val="24"/>
        </w:rPr>
      </w:pPr>
      <w:r>
        <w:rPr>
          <w:rFonts w:hint="eastAsia" w:ascii="彩虹粗仿宋" w:hAnsi="彩虹粗仿宋" w:eastAsia="彩虹粗仿宋" w:cs="彩虹粗仿宋"/>
          <w:b/>
          <w:snapToGrid w:val="0"/>
          <w:kern w:val="0"/>
          <w:sz w:val="24"/>
          <w:szCs w:val="24"/>
        </w:rPr>
        <w:t>16</w:t>
      </w:r>
      <w:r>
        <w:rPr>
          <w:rFonts w:hint="eastAsia" w:ascii="彩虹粗仿宋" w:hAnsi="彩虹粗仿宋" w:eastAsia="彩虹粗仿宋" w:cs="彩虹粗仿宋"/>
          <w:b/>
          <w:snapToGrid w:val="0"/>
          <w:kern w:val="0"/>
          <w:sz w:val="24"/>
          <w:szCs w:val="24"/>
          <w:lang w:eastAsia="zh-CN"/>
        </w:rPr>
        <w:t>.</w:t>
      </w:r>
      <w:r>
        <w:rPr>
          <w:rFonts w:hint="eastAsia" w:ascii="彩虹粗仿宋" w:hAnsi="彩虹粗仿宋" w:eastAsia="彩虹粗仿宋" w:cs="彩虹粗仿宋"/>
          <w:b/>
          <w:snapToGrid w:val="0"/>
          <w:kern w:val="0"/>
          <w:sz w:val="24"/>
          <w:szCs w:val="24"/>
        </w:rPr>
        <w:t>全国企业破产重整信息平台接入</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outlineLvl w:val="1"/>
        <w:rPr>
          <w:rFonts w:hint="eastAsia" w:ascii="彩虹粗仿宋" w:hAnsi="彩虹粗仿宋" w:eastAsia="彩虹粗仿宋" w:cs="彩虹粗仿宋"/>
          <w:b/>
          <w:snapToGrid w:val="0"/>
          <w:kern w:val="0"/>
          <w:sz w:val="24"/>
          <w:szCs w:val="24"/>
        </w:rPr>
      </w:pPr>
      <w:r>
        <w:rPr>
          <w:rFonts w:hint="eastAsia" w:ascii="彩虹粗仿宋" w:hAnsi="彩虹粗仿宋" w:eastAsia="彩虹粗仿宋" w:cs="彩虹粗仿宋"/>
          <w:b w:val="0"/>
          <w:bCs/>
          <w:snapToGrid w:val="0"/>
          <w:kern w:val="0"/>
          <w:sz w:val="24"/>
          <w:szCs w:val="24"/>
        </w:rPr>
        <w:t>全面落实最高人民法院《企业破产案件信息公开规定（试行）》，实现与全国企业破产重整信息平台的无缝对接。系统自动推送管理人发布的公告至全国企业破产重整信息平台，确保所有破产公告依法、及时发布，提升破产程序公信力。</w:t>
      </w:r>
    </w:p>
    <w:p>
      <w:pPr>
        <w:keepNext w:val="0"/>
        <w:keepLines w:val="0"/>
        <w:pageBreakBefore w:val="0"/>
        <w:widowControl w:val="0"/>
        <w:kinsoku/>
        <w:wordWrap/>
        <w:overflowPunct/>
        <w:topLinePunct w:val="0"/>
        <w:autoSpaceDE/>
        <w:autoSpaceDN/>
        <w:bidi w:val="0"/>
        <w:adjustRightInd/>
        <w:snapToGrid/>
        <w:spacing w:line="560" w:lineRule="exact"/>
        <w:ind w:firstLine="481" w:firstLineChars="200"/>
        <w:textAlignment w:val="auto"/>
        <w:outlineLvl w:val="1"/>
        <w:rPr>
          <w:rFonts w:hint="eastAsia" w:ascii="彩虹粗仿宋" w:hAnsi="彩虹粗仿宋" w:eastAsia="彩虹粗仿宋" w:cs="彩虹粗仿宋"/>
          <w:b/>
          <w:snapToGrid w:val="0"/>
          <w:kern w:val="0"/>
          <w:sz w:val="24"/>
          <w:szCs w:val="24"/>
        </w:rPr>
      </w:pPr>
      <w:r>
        <w:rPr>
          <w:rFonts w:hint="eastAsia" w:ascii="彩虹粗仿宋" w:hAnsi="彩虹粗仿宋" w:eastAsia="彩虹粗仿宋" w:cs="彩虹粗仿宋"/>
          <w:b/>
          <w:snapToGrid w:val="0"/>
          <w:kern w:val="0"/>
          <w:sz w:val="24"/>
          <w:szCs w:val="24"/>
        </w:rPr>
        <w:t>（五）生产、供货要求</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彩虹粗仿宋" w:hAnsi="彩虹粗仿宋" w:eastAsia="彩虹粗仿宋" w:cs="彩虹粗仿宋"/>
          <w:snapToGrid w:val="0"/>
          <w:kern w:val="0"/>
          <w:sz w:val="24"/>
          <w:szCs w:val="24"/>
        </w:rPr>
      </w:pPr>
      <w:r>
        <w:rPr>
          <w:rFonts w:hint="eastAsia" w:ascii="彩虹粗仿宋" w:hAnsi="彩虹粗仿宋" w:eastAsia="彩虹粗仿宋" w:cs="彩虹粗仿宋"/>
          <w:snapToGrid w:val="0"/>
          <w:kern w:val="0"/>
          <w:sz w:val="24"/>
          <w:szCs w:val="24"/>
        </w:rPr>
        <w:t>自合同签订生效之日起</w:t>
      </w:r>
      <w:r>
        <w:rPr>
          <w:rFonts w:hint="eastAsia" w:ascii="彩虹粗仿宋" w:hAnsi="彩虹粗仿宋" w:eastAsia="彩虹粗仿宋" w:cs="彩虹粗仿宋"/>
          <w:snapToGrid w:val="0"/>
          <w:kern w:val="0"/>
          <w:sz w:val="24"/>
          <w:szCs w:val="24"/>
          <w:lang w:val="en-US" w:eastAsia="zh-CN"/>
        </w:rPr>
        <w:t>90</w:t>
      </w:r>
      <w:r>
        <w:rPr>
          <w:rFonts w:hint="eastAsia" w:ascii="彩虹粗仿宋" w:hAnsi="彩虹粗仿宋" w:eastAsia="彩虹粗仿宋" w:cs="彩虹粗仿宋"/>
          <w:snapToGrid w:val="0"/>
          <w:kern w:val="0"/>
          <w:sz w:val="24"/>
          <w:szCs w:val="24"/>
        </w:rPr>
        <w:t>日内清远市中级人民法院一张网智慧破产管理系统实施部署在清远市</w:t>
      </w:r>
      <w:r>
        <w:rPr>
          <w:rFonts w:hint="eastAsia" w:ascii="彩虹粗仿宋" w:hAnsi="彩虹粗仿宋" w:eastAsia="彩虹粗仿宋" w:cs="彩虹粗仿宋"/>
          <w:snapToGrid w:val="0"/>
          <w:kern w:val="0"/>
          <w:sz w:val="24"/>
          <w:szCs w:val="24"/>
          <w:lang w:eastAsia="zh-CN"/>
        </w:rPr>
        <w:t>中级人民法院，</w:t>
      </w:r>
      <w:r>
        <w:rPr>
          <w:rFonts w:hint="eastAsia" w:ascii="彩虹粗仿宋" w:hAnsi="彩虹粗仿宋" w:eastAsia="彩虹粗仿宋" w:cs="彩虹粗仿宋"/>
          <w:b w:val="0"/>
          <w:bCs w:val="0"/>
          <w:snapToGrid w:val="0"/>
          <w:kern w:val="0"/>
          <w:sz w:val="24"/>
          <w:szCs w:val="24"/>
          <w:shd w:val="clear"/>
          <w:lang w:val="en-US" w:eastAsia="zh-CN" w:bidi="ar-SA"/>
        </w:rPr>
        <w:t>各模块需要保证在规定的工期内完工。</w:t>
      </w:r>
    </w:p>
    <w:p>
      <w:pPr>
        <w:keepNext w:val="0"/>
        <w:keepLines w:val="0"/>
        <w:pageBreakBefore w:val="0"/>
        <w:widowControl w:val="0"/>
        <w:kinsoku/>
        <w:wordWrap/>
        <w:overflowPunct/>
        <w:topLinePunct w:val="0"/>
        <w:autoSpaceDE/>
        <w:autoSpaceDN/>
        <w:bidi w:val="0"/>
        <w:adjustRightInd/>
        <w:snapToGrid/>
        <w:spacing w:line="560" w:lineRule="exact"/>
        <w:ind w:firstLine="481" w:firstLineChars="200"/>
        <w:textAlignment w:val="auto"/>
        <w:outlineLvl w:val="1"/>
        <w:rPr>
          <w:rFonts w:hint="eastAsia" w:ascii="彩虹粗仿宋" w:hAnsi="彩虹粗仿宋" w:eastAsia="彩虹粗仿宋" w:cs="彩虹粗仿宋"/>
          <w:b/>
          <w:snapToGrid w:val="0"/>
          <w:color w:val="000000" w:themeColor="text1"/>
          <w:kern w:val="0"/>
          <w:sz w:val="24"/>
          <w:szCs w:val="24"/>
          <w:lang w:eastAsia="zh-CN"/>
          <w14:textFill>
            <w14:solidFill>
              <w14:schemeClr w14:val="tx1"/>
            </w14:solidFill>
          </w14:textFill>
        </w:rPr>
      </w:pPr>
      <w:r>
        <w:rPr>
          <w:rFonts w:hint="eastAsia" w:ascii="彩虹粗仿宋" w:hAnsi="彩虹粗仿宋" w:eastAsia="彩虹粗仿宋" w:cs="彩虹粗仿宋"/>
          <w:b/>
          <w:snapToGrid w:val="0"/>
          <w:color w:val="000000" w:themeColor="text1"/>
          <w:kern w:val="0"/>
          <w:sz w:val="24"/>
          <w:szCs w:val="24"/>
          <w:lang w:eastAsia="zh-CN"/>
          <w14:textFill>
            <w14:solidFill>
              <w14:schemeClr w14:val="tx1"/>
            </w14:solidFill>
          </w14:textFill>
        </w:rPr>
        <w:t>（六）团队配置要求</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彩虹粗仿宋" w:hAnsi="彩虹粗仿宋" w:eastAsia="彩虹粗仿宋" w:cs="彩虹粗仿宋"/>
          <w:b/>
          <w:snapToGrid w:val="0"/>
          <w:color w:val="000000" w:themeColor="text1"/>
          <w:kern w:val="0"/>
          <w:sz w:val="24"/>
          <w:szCs w:val="24"/>
          <w14:textFill>
            <w14:solidFill>
              <w14:schemeClr w14:val="tx1"/>
            </w14:solidFill>
          </w14:textFill>
        </w:rPr>
      </w:pPr>
      <w:r>
        <w:rPr>
          <w:rFonts w:hint="eastAsia" w:ascii="彩虹粗仿宋" w:hAnsi="彩虹粗仿宋" w:eastAsia="彩虹粗仿宋" w:cs="彩虹粗仿宋"/>
          <w:snapToGrid w:val="0"/>
          <w:kern w:val="0"/>
          <w:sz w:val="24"/>
          <w:szCs w:val="24"/>
        </w:rPr>
        <w:t>供应商针对本次项目</w:t>
      </w:r>
      <w:r>
        <w:rPr>
          <w:rFonts w:hint="eastAsia" w:ascii="彩虹粗仿宋" w:hAnsi="彩虹粗仿宋" w:eastAsia="彩虹粗仿宋" w:cs="彩虹粗仿宋"/>
          <w:snapToGrid w:val="0"/>
          <w:kern w:val="0"/>
          <w:sz w:val="24"/>
          <w:szCs w:val="24"/>
          <w:lang w:eastAsia="zh-CN"/>
        </w:rPr>
        <w:t>配备</w:t>
      </w:r>
      <w:r>
        <w:rPr>
          <w:rFonts w:hint="eastAsia" w:ascii="彩虹粗仿宋" w:hAnsi="彩虹粗仿宋" w:eastAsia="彩虹粗仿宋" w:cs="彩虹粗仿宋"/>
          <w:snapToGrid w:val="0"/>
          <w:kern w:val="0"/>
          <w:sz w:val="24"/>
          <w:szCs w:val="24"/>
          <w:lang w:val="en-US" w:eastAsia="zh-CN"/>
        </w:rPr>
        <w:t>2人以上</w:t>
      </w:r>
      <w:r>
        <w:rPr>
          <w:rFonts w:hint="eastAsia" w:ascii="彩虹粗仿宋" w:hAnsi="彩虹粗仿宋" w:eastAsia="彩虹粗仿宋" w:cs="彩虹粗仿宋"/>
          <w:snapToGrid w:val="0"/>
          <w:kern w:val="0"/>
          <w:sz w:val="24"/>
          <w:szCs w:val="24"/>
        </w:rPr>
        <w:t>技术团队，</w:t>
      </w:r>
      <w:r>
        <w:rPr>
          <w:rFonts w:hint="eastAsia" w:ascii="彩虹粗仿宋" w:hAnsi="彩虹粗仿宋" w:eastAsia="彩虹粗仿宋" w:cs="彩虹粗仿宋"/>
          <w:snapToGrid w:val="0"/>
          <w:kern w:val="0"/>
          <w:sz w:val="24"/>
          <w:szCs w:val="24"/>
          <w:lang w:eastAsia="zh-CN"/>
        </w:rPr>
        <w:t>包括</w:t>
      </w:r>
      <w:r>
        <w:rPr>
          <w:rFonts w:hint="eastAsia" w:ascii="彩虹粗仿宋" w:hAnsi="彩虹粗仿宋" w:eastAsia="彩虹粗仿宋" w:cs="彩虹粗仿宋"/>
          <w:snapToGrid w:val="0"/>
          <w:kern w:val="0"/>
          <w:sz w:val="24"/>
          <w:szCs w:val="24"/>
        </w:rPr>
        <w:t>项目负责人、</w:t>
      </w:r>
      <w:r>
        <w:rPr>
          <w:rFonts w:hint="eastAsia" w:ascii="彩虹粗仿宋" w:hAnsi="彩虹粗仿宋" w:eastAsia="彩虹粗仿宋" w:cs="彩虹粗仿宋"/>
          <w:snapToGrid w:val="0"/>
          <w:kern w:val="0"/>
          <w:sz w:val="24"/>
          <w:szCs w:val="24"/>
          <w:lang w:eastAsia="zh-CN"/>
        </w:rPr>
        <w:t>团队</w:t>
      </w:r>
      <w:r>
        <w:rPr>
          <w:rFonts w:hint="eastAsia" w:ascii="彩虹粗仿宋" w:hAnsi="彩虹粗仿宋" w:eastAsia="彩虹粗仿宋" w:cs="彩虹粗仿宋"/>
          <w:snapToGrid w:val="0"/>
          <w:kern w:val="0"/>
          <w:sz w:val="24"/>
          <w:szCs w:val="24"/>
        </w:rPr>
        <w:t>技术人员等，每个角色至少1人。</w:t>
      </w:r>
    </w:p>
    <w:p>
      <w:pPr>
        <w:keepNext w:val="0"/>
        <w:keepLines w:val="0"/>
        <w:pageBreakBefore w:val="0"/>
        <w:widowControl w:val="0"/>
        <w:kinsoku/>
        <w:wordWrap/>
        <w:overflowPunct/>
        <w:topLinePunct w:val="0"/>
        <w:autoSpaceDE/>
        <w:autoSpaceDN/>
        <w:bidi w:val="0"/>
        <w:adjustRightInd/>
        <w:snapToGrid/>
        <w:spacing w:line="560" w:lineRule="exact"/>
        <w:ind w:firstLine="481" w:firstLineChars="200"/>
        <w:textAlignment w:val="auto"/>
        <w:outlineLvl w:val="1"/>
        <w:rPr>
          <w:rFonts w:hint="eastAsia" w:ascii="彩虹粗仿宋" w:hAnsi="彩虹粗仿宋" w:eastAsia="彩虹粗仿宋" w:cs="彩虹粗仿宋"/>
          <w:b/>
          <w:snapToGrid w:val="0"/>
          <w:color w:val="000000" w:themeColor="text1"/>
          <w:kern w:val="0"/>
          <w:sz w:val="24"/>
          <w:szCs w:val="24"/>
          <w14:textFill>
            <w14:solidFill>
              <w14:schemeClr w14:val="tx1"/>
            </w14:solidFill>
          </w14:textFill>
        </w:rPr>
      </w:pPr>
      <w:r>
        <w:rPr>
          <w:rFonts w:hint="eastAsia" w:ascii="彩虹粗仿宋" w:hAnsi="彩虹粗仿宋" w:eastAsia="彩虹粗仿宋" w:cs="彩虹粗仿宋"/>
          <w:b/>
          <w:snapToGrid w:val="0"/>
          <w:color w:val="000000" w:themeColor="text1"/>
          <w:kern w:val="0"/>
          <w:sz w:val="24"/>
          <w:szCs w:val="24"/>
          <w14:textFill>
            <w14:solidFill>
              <w14:schemeClr w14:val="tx1"/>
            </w14:solidFill>
          </w14:textFill>
        </w:rPr>
        <w:t>（</w:t>
      </w:r>
      <w:r>
        <w:rPr>
          <w:rFonts w:hint="eastAsia" w:ascii="彩虹粗仿宋" w:hAnsi="彩虹粗仿宋" w:eastAsia="彩虹粗仿宋" w:cs="彩虹粗仿宋"/>
          <w:b/>
          <w:snapToGrid w:val="0"/>
          <w:color w:val="000000" w:themeColor="text1"/>
          <w:kern w:val="0"/>
          <w:sz w:val="24"/>
          <w:szCs w:val="24"/>
          <w:lang w:eastAsia="zh-CN"/>
          <w14:textFill>
            <w14:solidFill>
              <w14:schemeClr w14:val="tx1"/>
            </w14:solidFill>
          </w14:textFill>
        </w:rPr>
        <w:t>七</w:t>
      </w:r>
      <w:r>
        <w:rPr>
          <w:rFonts w:hint="eastAsia" w:ascii="彩虹粗仿宋" w:hAnsi="彩虹粗仿宋" w:eastAsia="彩虹粗仿宋" w:cs="彩虹粗仿宋"/>
          <w:b/>
          <w:snapToGrid w:val="0"/>
          <w:color w:val="000000" w:themeColor="text1"/>
          <w:kern w:val="0"/>
          <w:sz w:val="24"/>
          <w:szCs w:val="24"/>
          <w14:textFill>
            <w14:solidFill>
              <w14:schemeClr w14:val="tx1"/>
            </w14:solidFill>
          </w14:textFill>
        </w:rPr>
        <w:t>）售后服务要求</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彩虹粗仿宋" w:hAnsi="彩虹粗仿宋" w:eastAsia="彩虹粗仿宋" w:cs="彩虹粗仿宋"/>
          <w:b w:val="0"/>
          <w:bCs w:val="0"/>
          <w:snapToGrid w:val="0"/>
          <w:kern w:val="0"/>
          <w:sz w:val="24"/>
          <w:szCs w:val="24"/>
          <w:shd w:val="clear"/>
          <w:lang w:val="en-US" w:eastAsia="zh-CN" w:bidi="ar-SA"/>
        </w:rPr>
      </w:pPr>
      <w:r>
        <w:rPr>
          <w:rFonts w:hint="eastAsia" w:ascii="彩虹粗仿宋" w:hAnsi="彩虹粗仿宋" w:eastAsia="彩虹粗仿宋" w:cs="彩虹粗仿宋"/>
          <w:snapToGrid w:val="0"/>
          <w:kern w:val="0"/>
          <w:sz w:val="24"/>
          <w:szCs w:val="24"/>
        </w:rPr>
        <w:t>入选供应商需承诺向我分行提供源代码、软件说明书、用户操作手册、软件维护手册、概要设计说明书，</w:t>
      </w:r>
      <w:r>
        <w:rPr>
          <w:rFonts w:hint="eastAsia" w:ascii="彩虹粗仿宋" w:hAnsi="彩虹粗仿宋" w:eastAsia="彩虹粗仿宋" w:cs="彩虹粗仿宋"/>
          <w:snapToGrid w:val="0"/>
          <w:kern w:val="0"/>
          <w:sz w:val="24"/>
          <w:szCs w:val="24"/>
          <w:lang w:eastAsia="zh-CN"/>
        </w:rPr>
        <w:t>承诺本次</w:t>
      </w:r>
      <w:r>
        <w:rPr>
          <w:rFonts w:hint="eastAsia" w:ascii="彩虹粗仿宋" w:hAnsi="彩虹粗仿宋" w:eastAsia="彩虹粗仿宋" w:cs="彩虹粗仿宋"/>
          <w:snapToGrid w:val="0"/>
          <w:kern w:val="0"/>
          <w:sz w:val="24"/>
          <w:szCs w:val="24"/>
        </w:rPr>
        <w:t>购置的定制化软件所有权归建设银行所有</w:t>
      </w:r>
      <w:r>
        <w:rPr>
          <w:rFonts w:hint="eastAsia" w:ascii="彩虹粗仿宋" w:hAnsi="彩虹粗仿宋" w:eastAsia="彩虹粗仿宋" w:cs="彩虹粗仿宋"/>
          <w:snapToGrid w:val="0"/>
          <w:kern w:val="0"/>
          <w:sz w:val="24"/>
          <w:szCs w:val="24"/>
          <w:lang w:eastAsia="zh-CN"/>
        </w:rPr>
        <w:t>。</w:t>
      </w:r>
      <w:r>
        <w:rPr>
          <w:rFonts w:hint="eastAsia" w:ascii="彩虹粗仿宋" w:hAnsi="彩虹粗仿宋" w:eastAsia="彩虹粗仿宋" w:cs="彩虹粗仿宋"/>
          <w:b w:val="0"/>
          <w:bCs w:val="0"/>
          <w:snapToGrid w:val="0"/>
          <w:kern w:val="0"/>
          <w:sz w:val="24"/>
          <w:szCs w:val="24"/>
          <w:shd w:val="clear"/>
          <w:lang w:val="en-US" w:eastAsia="zh-CN" w:bidi="ar-SA"/>
        </w:rPr>
        <w:t>供应商应确保本次采购所有项目的安全稳定的运行，并承诺提供3年免费等保服务。</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textAlignment w:val="auto"/>
        <w:rPr>
          <w:rFonts w:hint="eastAsia" w:ascii="彩虹粗仿宋" w:hAnsi="彩虹粗仿宋" w:eastAsia="彩虹粗仿宋" w:cs="彩虹粗仿宋"/>
          <w:b w:val="0"/>
          <w:bCs w:val="0"/>
          <w:snapToGrid w:val="0"/>
          <w:kern w:val="0"/>
          <w:sz w:val="24"/>
          <w:szCs w:val="24"/>
          <w:shd w:val="clear"/>
          <w:lang w:val="en-US" w:eastAsia="zh-CN" w:bidi="ar-SA"/>
        </w:rPr>
      </w:pPr>
      <w:r>
        <w:rPr>
          <w:rFonts w:hint="eastAsia" w:ascii="彩虹粗仿宋" w:hAnsi="彩虹粗仿宋" w:eastAsia="彩虹粗仿宋" w:cs="彩虹粗仿宋"/>
          <w:b w:val="0"/>
          <w:bCs w:val="0"/>
          <w:snapToGrid w:val="0"/>
          <w:kern w:val="0"/>
          <w:sz w:val="24"/>
          <w:szCs w:val="24"/>
          <w:shd w:val="clear"/>
          <w:lang w:val="en-US" w:eastAsia="zh-CN" w:bidi="ar-SA"/>
        </w:rPr>
        <w:t>（1）质保期内，本合同项目所有技术和服务发生任何非人为故障，由供应商负责系统恢复。</w:t>
      </w:r>
    </w:p>
    <w:p>
      <w:pPr>
        <w:pStyle w:val="4"/>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ind w:left="0" w:leftChars="0" w:firstLine="480" w:firstLineChars="200"/>
        <w:textAlignment w:val="auto"/>
        <w:rPr>
          <w:rFonts w:hint="eastAsia" w:ascii="彩虹粗仿宋" w:hAnsi="彩虹粗仿宋" w:eastAsia="彩虹粗仿宋" w:cs="彩虹粗仿宋"/>
          <w:b w:val="0"/>
          <w:bCs w:val="0"/>
          <w:snapToGrid w:val="0"/>
          <w:kern w:val="0"/>
          <w:sz w:val="24"/>
          <w:szCs w:val="24"/>
          <w:shd w:val="clear"/>
          <w:lang w:val="en-US" w:eastAsia="zh-CN" w:bidi="ar-SA"/>
        </w:rPr>
      </w:pPr>
      <w:r>
        <w:rPr>
          <w:rFonts w:hint="eastAsia" w:ascii="彩虹粗仿宋" w:hAnsi="彩虹粗仿宋" w:eastAsia="彩虹粗仿宋" w:cs="彩虹粗仿宋"/>
          <w:b w:val="0"/>
          <w:bCs w:val="0"/>
          <w:snapToGrid w:val="0"/>
          <w:kern w:val="0"/>
          <w:sz w:val="24"/>
          <w:szCs w:val="24"/>
          <w:shd w:val="clear"/>
          <w:lang w:val="en-US" w:eastAsia="zh-CN" w:bidi="ar-SA"/>
        </w:rPr>
        <w:t>疑难问题（不危及运行）在24小时内答复用户。</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textAlignment w:val="auto"/>
        <w:rPr>
          <w:rFonts w:hint="eastAsia" w:ascii="彩虹粗仿宋" w:hAnsi="彩虹粗仿宋" w:eastAsia="彩虹粗仿宋" w:cs="彩虹粗仿宋"/>
          <w:b w:val="0"/>
          <w:bCs w:val="0"/>
          <w:snapToGrid w:val="0"/>
          <w:kern w:val="0"/>
          <w:sz w:val="24"/>
          <w:szCs w:val="24"/>
          <w:shd w:val="clear"/>
          <w:lang w:val="en-US" w:eastAsia="zh-CN" w:bidi="ar-SA"/>
        </w:rPr>
      </w:pPr>
      <w:r>
        <w:rPr>
          <w:rFonts w:hint="eastAsia" w:ascii="彩虹粗仿宋" w:hAnsi="彩虹粗仿宋" w:eastAsia="彩虹粗仿宋" w:cs="彩虹粗仿宋"/>
          <w:b w:val="0"/>
          <w:bCs w:val="0"/>
          <w:snapToGrid w:val="0"/>
          <w:kern w:val="0"/>
          <w:sz w:val="24"/>
          <w:szCs w:val="24"/>
          <w:shd w:val="clear"/>
          <w:lang w:val="en-US" w:eastAsia="zh-CN" w:bidi="ar-SA"/>
        </w:rPr>
        <w:t>重大问题（危及运行）在2小时内到现场处理或通过网络远程处理。</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textAlignment w:val="auto"/>
        <w:rPr>
          <w:rFonts w:hint="eastAsia" w:ascii="彩虹粗仿宋" w:hAnsi="彩虹粗仿宋" w:eastAsia="彩虹粗仿宋" w:cs="彩虹粗仿宋"/>
          <w:b w:val="0"/>
          <w:bCs w:val="0"/>
          <w:snapToGrid w:val="0"/>
          <w:kern w:val="0"/>
          <w:sz w:val="24"/>
          <w:szCs w:val="24"/>
          <w:shd w:val="clear"/>
          <w:lang w:val="en-US" w:eastAsia="zh-CN" w:bidi="ar-SA"/>
        </w:rPr>
      </w:pPr>
      <w:r>
        <w:rPr>
          <w:rFonts w:hint="eastAsia" w:ascii="彩虹粗仿宋" w:hAnsi="彩虹粗仿宋" w:eastAsia="彩虹粗仿宋" w:cs="彩虹粗仿宋"/>
          <w:b w:val="0"/>
          <w:bCs w:val="0"/>
          <w:snapToGrid w:val="0"/>
          <w:kern w:val="0"/>
          <w:sz w:val="24"/>
          <w:szCs w:val="24"/>
          <w:shd w:val="clear"/>
          <w:lang w:val="en-US" w:eastAsia="zh-CN" w:bidi="ar-SA"/>
        </w:rPr>
        <w:t>特大问题（系统不能正常运行）在2小时内恢复系统运行，并在24小时内派技术人员到现场解决。</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textAlignment w:val="auto"/>
        <w:rPr>
          <w:rFonts w:hint="eastAsia" w:ascii="彩虹粗仿宋" w:hAnsi="彩虹粗仿宋" w:eastAsia="彩虹粗仿宋" w:cs="彩虹粗仿宋"/>
          <w:b w:val="0"/>
          <w:bCs w:val="0"/>
          <w:snapToGrid w:val="0"/>
          <w:kern w:val="0"/>
          <w:sz w:val="24"/>
          <w:szCs w:val="24"/>
          <w:shd w:val="clear"/>
          <w:lang w:val="en-US" w:eastAsia="zh-CN" w:bidi="ar-SA"/>
        </w:rPr>
      </w:pPr>
      <w:r>
        <w:rPr>
          <w:rFonts w:hint="eastAsia" w:ascii="彩虹粗仿宋" w:hAnsi="彩虹粗仿宋" w:eastAsia="彩虹粗仿宋" w:cs="彩虹粗仿宋"/>
          <w:b w:val="0"/>
          <w:bCs w:val="0"/>
          <w:snapToGrid w:val="0"/>
          <w:kern w:val="0"/>
          <w:sz w:val="24"/>
          <w:szCs w:val="24"/>
          <w:shd w:val="clear"/>
          <w:lang w:val="en-US" w:eastAsia="zh-CN" w:bidi="ar-SA"/>
        </w:rPr>
        <w:t>（2）供应商需提供定期回访服务，对采购人提出的合理优化建议应提供免费升级服务。</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textAlignment w:val="auto"/>
        <w:rPr>
          <w:rFonts w:hint="eastAsia" w:ascii="彩虹粗仿宋" w:hAnsi="彩虹粗仿宋" w:eastAsia="彩虹粗仿宋" w:cs="彩虹粗仿宋"/>
        </w:rPr>
      </w:pPr>
      <w:r>
        <w:rPr>
          <w:rFonts w:hint="eastAsia" w:ascii="彩虹粗仿宋" w:hAnsi="彩虹粗仿宋" w:eastAsia="彩虹粗仿宋" w:cs="彩虹粗仿宋"/>
          <w:b w:val="0"/>
          <w:bCs w:val="0"/>
          <w:snapToGrid w:val="0"/>
          <w:kern w:val="0"/>
          <w:sz w:val="24"/>
          <w:szCs w:val="24"/>
          <w:shd w:val="clear"/>
          <w:lang w:val="en-US" w:eastAsia="zh-CN" w:bidi="ar-SA"/>
        </w:rPr>
        <w:t>（3）所有的服务方式均为供应商上门保修，即由供应商派员到系统使用现场进行故障恢复，由此产生的一切费用均由供应商承担。</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彩虹粗仿宋" w:hAnsi="彩虹粗仿宋" w:eastAsia="彩虹粗仿宋" w:cs="彩虹粗仿宋"/>
          <w:snapToGrid w:val="0"/>
          <w:kern w:val="0"/>
          <w:sz w:val="24"/>
          <w:szCs w:val="24"/>
          <w:lang w:eastAsia="zh-CN"/>
        </w:rPr>
      </w:pPr>
      <w:r>
        <w:rPr>
          <w:rFonts w:hint="eastAsia" w:ascii="彩虹粗仿宋" w:hAnsi="彩虹粗仿宋" w:eastAsia="彩虹粗仿宋" w:cs="彩虹粗仿宋"/>
          <w:snapToGrid w:val="0"/>
          <w:kern w:val="0"/>
          <w:sz w:val="24"/>
          <w:szCs w:val="24"/>
        </w:rPr>
        <w:t>软件系统须具备计算机软件著作权登记证书</w:t>
      </w:r>
      <w:r>
        <w:rPr>
          <w:rFonts w:hint="eastAsia" w:ascii="彩虹粗仿宋" w:hAnsi="彩虹粗仿宋" w:eastAsia="彩虹粗仿宋" w:cs="彩虹粗仿宋"/>
          <w:snapToGrid w:val="0"/>
          <w:kern w:val="0"/>
          <w:sz w:val="24"/>
          <w:szCs w:val="24"/>
          <w:lang w:eastAsia="zh-CN"/>
        </w:rPr>
        <w:t>。</w:t>
      </w:r>
    </w:p>
    <w:p>
      <w:pPr>
        <w:pStyle w:val="4"/>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ind w:left="0" w:leftChars="0" w:firstLine="481" w:firstLineChars="200"/>
        <w:textAlignment w:val="auto"/>
        <w:rPr>
          <w:rFonts w:hint="eastAsia" w:ascii="彩虹粗仿宋" w:hAnsi="彩虹粗仿宋" w:eastAsia="彩虹粗仿宋" w:cs="彩虹粗仿宋"/>
          <w:b/>
          <w:bCs/>
          <w:snapToGrid w:val="0"/>
          <w:kern w:val="0"/>
          <w:sz w:val="24"/>
          <w:szCs w:val="24"/>
          <w:shd w:val="clear"/>
          <w:lang w:val="en-US" w:eastAsia="zh-CN" w:bidi="ar-SA"/>
        </w:rPr>
      </w:pPr>
      <w:r>
        <w:rPr>
          <w:rFonts w:hint="eastAsia" w:ascii="彩虹粗仿宋" w:hAnsi="彩虹粗仿宋" w:eastAsia="彩虹粗仿宋" w:cs="彩虹粗仿宋"/>
          <w:b/>
          <w:bCs/>
          <w:snapToGrid w:val="0"/>
          <w:kern w:val="0"/>
          <w:sz w:val="24"/>
          <w:szCs w:val="24"/>
          <w:shd w:val="clear"/>
          <w:lang w:val="en-US" w:eastAsia="zh-CN" w:bidi="ar-SA"/>
        </w:rPr>
        <w:t>（八）培训要求</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textAlignment w:val="auto"/>
        <w:rPr>
          <w:rFonts w:hint="eastAsia" w:ascii="彩虹粗仿宋" w:hAnsi="彩虹粗仿宋" w:eastAsia="彩虹粗仿宋" w:cs="彩虹粗仿宋"/>
          <w:lang w:eastAsia="zh-CN"/>
        </w:rPr>
      </w:pPr>
      <w:r>
        <w:rPr>
          <w:rFonts w:hint="eastAsia" w:ascii="彩虹粗仿宋" w:hAnsi="彩虹粗仿宋" w:eastAsia="彩虹粗仿宋" w:cs="彩虹粗仿宋"/>
          <w:b w:val="0"/>
          <w:bCs w:val="0"/>
          <w:snapToGrid w:val="0"/>
          <w:kern w:val="0"/>
          <w:sz w:val="24"/>
          <w:szCs w:val="24"/>
          <w:shd w:val="clear"/>
          <w:lang w:val="en-US" w:eastAsia="zh-CN" w:bidi="ar-SA"/>
        </w:rPr>
        <w:t>供应商须提供操作培训方案，方案内容包括但不限于培训方式、培训课时及培训目标成果等内容。</w:t>
      </w:r>
    </w:p>
    <w:p>
      <w:pPr>
        <w:keepNext w:val="0"/>
        <w:keepLines w:val="0"/>
        <w:pageBreakBefore w:val="0"/>
        <w:widowControl w:val="0"/>
        <w:kinsoku/>
        <w:wordWrap/>
        <w:overflowPunct/>
        <w:topLinePunct w:val="0"/>
        <w:autoSpaceDE/>
        <w:autoSpaceDN/>
        <w:bidi w:val="0"/>
        <w:adjustRightInd/>
        <w:snapToGrid/>
        <w:spacing w:line="560" w:lineRule="exact"/>
        <w:ind w:firstLine="481" w:firstLineChars="200"/>
        <w:textAlignment w:val="auto"/>
        <w:outlineLvl w:val="1"/>
        <w:rPr>
          <w:rFonts w:hint="eastAsia" w:ascii="彩虹粗仿宋" w:hAnsi="彩虹粗仿宋" w:eastAsia="彩虹粗仿宋" w:cs="彩虹粗仿宋"/>
          <w:b/>
          <w:snapToGrid w:val="0"/>
          <w:kern w:val="0"/>
          <w:sz w:val="24"/>
          <w:szCs w:val="24"/>
        </w:rPr>
      </w:pPr>
      <w:r>
        <w:rPr>
          <w:rFonts w:hint="eastAsia" w:ascii="彩虹粗仿宋" w:hAnsi="彩虹粗仿宋" w:eastAsia="彩虹粗仿宋" w:cs="彩虹粗仿宋"/>
          <w:b/>
          <w:snapToGrid w:val="0"/>
          <w:kern w:val="0"/>
          <w:sz w:val="24"/>
          <w:szCs w:val="24"/>
        </w:rPr>
        <w:t>（</w:t>
      </w:r>
      <w:r>
        <w:rPr>
          <w:rFonts w:hint="eastAsia" w:ascii="彩虹粗仿宋" w:hAnsi="彩虹粗仿宋" w:eastAsia="彩虹粗仿宋" w:cs="彩虹粗仿宋"/>
          <w:b/>
          <w:snapToGrid w:val="0"/>
          <w:kern w:val="0"/>
          <w:sz w:val="24"/>
          <w:szCs w:val="24"/>
          <w:lang w:eastAsia="zh-CN"/>
        </w:rPr>
        <w:t>九</w:t>
      </w:r>
      <w:r>
        <w:rPr>
          <w:rFonts w:hint="eastAsia" w:ascii="彩虹粗仿宋" w:hAnsi="彩虹粗仿宋" w:eastAsia="彩虹粗仿宋" w:cs="彩虹粗仿宋"/>
          <w:b/>
          <w:snapToGrid w:val="0"/>
          <w:kern w:val="0"/>
          <w:sz w:val="24"/>
          <w:szCs w:val="24"/>
        </w:rPr>
        <w:t>）报价要求</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彩虹粗仿宋" w:hAnsi="彩虹粗仿宋" w:eastAsia="彩虹粗仿宋" w:cs="彩虹粗仿宋"/>
          <w:snapToGrid w:val="0"/>
          <w:kern w:val="0"/>
          <w:sz w:val="24"/>
          <w:szCs w:val="24"/>
        </w:rPr>
      </w:pPr>
      <w:r>
        <w:rPr>
          <w:rFonts w:hint="eastAsia" w:ascii="彩虹粗仿宋" w:hAnsi="彩虹粗仿宋" w:eastAsia="彩虹粗仿宋" w:cs="彩虹粗仿宋"/>
          <w:snapToGrid w:val="0"/>
          <w:kern w:val="0"/>
          <w:sz w:val="24"/>
          <w:szCs w:val="24"/>
        </w:rPr>
        <w:t>1.根据清远市分行提供的项目清单进行报价。</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彩虹粗仿宋" w:hAnsi="彩虹粗仿宋" w:eastAsia="彩虹粗仿宋" w:cs="彩虹粗仿宋"/>
          <w:snapToGrid w:val="0"/>
          <w:kern w:val="0"/>
          <w:sz w:val="24"/>
          <w:szCs w:val="24"/>
        </w:rPr>
      </w:pPr>
      <w:r>
        <w:rPr>
          <w:rFonts w:hint="eastAsia" w:ascii="彩虹粗仿宋" w:hAnsi="彩虹粗仿宋" w:eastAsia="彩虹粗仿宋" w:cs="彩虹粗仿宋"/>
          <w:snapToGrid w:val="0"/>
          <w:kern w:val="0"/>
          <w:sz w:val="24"/>
          <w:szCs w:val="24"/>
        </w:rPr>
        <w:t>2.项目报价应为含税综合报价（人民币）和不含税综合报价（人民币），报价应包含运输、管理、安装、维保、等保测评、政策性文件规定及合同包含的所有风险、责任等各项应有费用。</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彩虹粗仿宋" w:hAnsi="彩虹粗仿宋" w:eastAsia="彩虹粗仿宋" w:cs="彩虹粗仿宋"/>
          <w:snapToGrid w:val="0"/>
          <w:color w:val="000000" w:themeColor="text1"/>
          <w:kern w:val="0"/>
          <w:sz w:val="24"/>
          <w:szCs w:val="24"/>
          <w14:textFill>
            <w14:solidFill>
              <w14:schemeClr w14:val="tx1"/>
            </w14:solidFill>
          </w14:textFill>
        </w:rPr>
      </w:pPr>
      <w:r>
        <w:rPr>
          <w:rFonts w:hint="eastAsia" w:ascii="彩虹粗仿宋" w:hAnsi="彩虹粗仿宋" w:eastAsia="彩虹粗仿宋" w:cs="彩虹粗仿宋"/>
          <w:snapToGrid w:val="0"/>
          <w:color w:val="000000" w:themeColor="text1"/>
          <w:kern w:val="0"/>
          <w:sz w:val="24"/>
          <w:szCs w:val="24"/>
          <w14:textFill>
            <w14:solidFill>
              <w14:schemeClr w14:val="tx1"/>
            </w14:solidFill>
          </w14:textFill>
        </w:rPr>
        <w:t>本次报价需为有效报价（即未超项目预算的报价），本项目属于软件购买类项目，增值税税率一般为13%，投标人应按增值税专用发票中的税率如实填写上表中的“增值税税率”，所填写的税率必须符合国家税率标准。</w:t>
      </w:r>
    </w:p>
    <w:p>
      <w:pPr>
        <w:keepNext w:val="0"/>
        <w:keepLines w:val="0"/>
        <w:pageBreakBefore w:val="0"/>
        <w:widowControl w:val="0"/>
        <w:kinsoku/>
        <w:wordWrap/>
        <w:overflowPunct/>
        <w:topLinePunct w:val="0"/>
        <w:autoSpaceDE/>
        <w:autoSpaceDN/>
        <w:bidi w:val="0"/>
        <w:adjustRightInd/>
        <w:snapToGrid/>
        <w:spacing w:line="560" w:lineRule="exact"/>
        <w:ind w:firstLine="481" w:firstLineChars="200"/>
        <w:textAlignment w:val="auto"/>
        <w:outlineLvl w:val="1"/>
        <w:rPr>
          <w:rFonts w:hint="eastAsia" w:ascii="彩虹粗仿宋" w:hAnsi="彩虹粗仿宋" w:eastAsia="彩虹粗仿宋" w:cs="彩虹粗仿宋"/>
          <w:b/>
          <w:snapToGrid w:val="0"/>
          <w:kern w:val="0"/>
          <w:sz w:val="24"/>
          <w:szCs w:val="24"/>
        </w:rPr>
      </w:pPr>
      <w:r>
        <w:rPr>
          <w:rFonts w:hint="eastAsia" w:ascii="彩虹粗仿宋" w:hAnsi="彩虹粗仿宋" w:eastAsia="彩虹粗仿宋" w:cs="彩虹粗仿宋"/>
          <w:b/>
          <w:snapToGrid w:val="0"/>
          <w:kern w:val="0"/>
          <w:sz w:val="24"/>
          <w:szCs w:val="24"/>
        </w:rPr>
        <w:t>（</w:t>
      </w:r>
      <w:r>
        <w:rPr>
          <w:rFonts w:hint="eastAsia" w:ascii="彩虹粗仿宋" w:hAnsi="彩虹粗仿宋" w:eastAsia="彩虹粗仿宋" w:cs="彩虹粗仿宋"/>
          <w:b/>
          <w:snapToGrid w:val="0"/>
          <w:kern w:val="0"/>
          <w:sz w:val="24"/>
          <w:szCs w:val="24"/>
          <w:lang w:eastAsia="zh-CN"/>
        </w:rPr>
        <w:t>九</w:t>
      </w:r>
      <w:r>
        <w:rPr>
          <w:rFonts w:hint="eastAsia" w:ascii="彩虹粗仿宋" w:hAnsi="彩虹粗仿宋" w:eastAsia="彩虹粗仿宋" w:cs="彩虹粗仿宋"/>
          <w:b/>
          <w:snapToGrid w:val="0"/>
          <w:kern w:val="0"/>
          <w:sz w:val="24"/>
          <w:szCs w:val="24"/>
        </w:rPr>
        <w:t>）款项支付要求</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outlineLvl w:val="2"/>
        <w:rPr>
          <w:rFonts w:hint="eastAsia" w:ascii="彩虹粗仿宋" w:hAnsi="彩虹粗仿宋" w:eastAsia="彩虹粗仿宋" w:cs="彩虹粗仿宋"/>
          <w:snapToGrid w:val="0"/>
          <w:color w:val="000000" w:themeColor="text1"/>
          <w:kern w:val="0"/>
          <w:sz w:val="24"/>
          <w:szCs w:val="24"/>
          <w14:textFill>
            <w14:solidFill>
              <w14:schemeClr w14:val="tx1"/>
            </w14:solidFill>
          </w14:textFill>
        </w:rPr>
      </w:pPr>
      <w:r>
        <w:rPr>
          <w:rFonts w:hint="eastAsia" w:ascii="彩虹粗仿宋" w:hAnsi="彩虹粗仿宋" w:eastAsia="彩虹粗仿宋" w:cs="彩虹粗仿宋"/>
          <w:snapToGrid w:val="0"/>
          <w:color w:val="000000" w:themeColor="text1"/>
          <w:kern w:val="0"/>
          <w:sz w:val="24"/>
          <w:szCs w:val="24"/>
          <w14:textFill>
            <w14:solidFill>
              <w14:schemeClr w14:val="tx1"/>
            </w14:solidFill>
          </w14:textFill>
        </w:rPr>
        <w:t>根据采购方需求及合同约定进度完成系统建设，款项支付分期付款：</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彩虹粗仿宋" w:hAnsi="彩虹粗仿宋" w:eastAsia="彩虹粗仿宋" w:cs="彩虹粗仿宋"/>
          <w:snapToGrid w:val="0"/>
          <w:color w:val="000000" w:themeColor="text1"/>
          <w:kern w:val="0"/>
          <w:sz w:val="24"/>
          <w:szCs w:val="24"/>
          <w14:textFill>
            <w14:solidFill>
              <w14:schemeClr w14:val="tx1"/>
            </w14:solidFill>
          </w14:textFill>
        </w:rPr>
      </w:pPr>
      <w:r>
        <w:rPr>
          <w:rFonts w:hint="eastAsia" w:ascii="彩虹粗仿宋" w:hAnsi="彩虹粗仿宋" w:eastAsia="彩虹粗仿宋" w:cs="彩虹粗仿宋"/>
          <w:snapToGrid w:val="0"/>
          <w:color w:val="000000" w:themeColor="text1"/>
          <w:kern w:val="0"/>
          <w:sz w:val="24"/>
          <w:szCs w:val="24"/>
          <w14:textFill>
            <w14:solidFill>
              <w14:schemeClr w14:val="tx1"/>
            </w14:solidFill>
          </w14:textFill>
        </w:rPr>
        <w:t>第一期：</w:t>
      </w:r>
      <w:r>
        <w:rPr>
          <w:rFonts w:hint="eastAsia" w:ascii="彩虹粗仿宋" w:hAnsi="彩虹粗仿宋" w:eastAsia="彩虹粗仿宋" w:cs="彩虹粗仿宋"/>
          <w:snapToGrid w:val="0"/>
          <w:color w:val="000000" w:themeColor="text1"/>
          <w:kern w:val="0"/>
          <w:sz w:val="24"/>
          <w:szCs w:val="24"/>
          <w:lang w:eastAsia="zh-CN"/>
          <w14:textFill>
            <w14:solidFill>
              <w14:schemeClr w14:val="tx1"/>
            </w14:solidFill>
          </w14:textFill>
        </w:rPr>
        <w:t>软件到货系统</w:t>
      </w:r>
      <w:r>
        <w:rPr>
          <w:rFonts w:hint="eastAsia" w:ascii="彩虹粗仿宋" w:hAnsi="彩虹粗仿宋" w:eastAsia="彩虹粗仿宋" w:cs="彩虹粗仿宋"/>
          <w:snapToGrid w:val="0"/>
          <w:color w:val="000000" w:themeColor="text1"/>
          <w:kern w:val="0"/>
          <w:sz w:val="24"/>
          <w:szCs w:val="24"/>
          <w14:textFill>
            <w14:solidFill>
              <w14:schemeClr w14:val="tx1"/>
            </w14:solidFill>
          </w14:textFill>
        </w:rPr>
        <w:t>上线后，根据对方开具的全额增值税专用发票在60天内支付项目总价的45%；</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彩虹粗仿宋" w:hAnsi="彩虹粗仿宋" w:eastAsia="彩虹粗仿宋" w:cs="彩虹粗仿宋"/>
          <w:snapToGrid w:val="0"/>
          <w:color w:val="000000" w:themeColor="text1"/>
          <w:kern w:val="0"/>
          <w:sz w:val="24"/>
          <w:szCs w:val="24"/>
          <w14:textFill>
            <w14:solidFill>
              <w14:schemeClr w14:val="tx1"/>
            </w14:solidFill>
          </w14:textFill>
        </w:rPr>
      </w:pPr>
      <w:r>
        <w:rPr>
          <w:rFonts w:hint="eastAsia" w:ascii="彩虹粗仿宋" w:hAnsi="彩虹粗仿宋" w:eastAsia="彩虹粗仿宋" w:cs="彩虹粗仿宋"/>
          <w:snapToGrid w:val="0"/>
          <w:color w:val="000000" w:themeColor="text1"/>
          <w:kern w:val="0"/>
          <w:sz w:val="24"/>
          <w:szCs w:val="24"/>
          <w14:textFill>
            <w14:solidFill>
              <w14:schemeClr w14:val="tx1"/>
            </w14:solidFill>
          </w14:textFill>
        </w:rPr>
        <w:t>第二期：系统平稳运行后且经双方验收合格后</w:t>
      </w:r>
      <w:r>
        <w:rPr>
          <w:rFonts w:hint="eastAsia" w:ascii="彩虹粗仿宋" w:hAnsi="彩虹粗仿宋" w:eastAsia="彩虹粗仿宋" w:cs="彩虹粗仿宋"/>
          <w:snapToGrid w:val="0"/>
          <w:color w:val="000000" w:themeColor="text1"/>
          <w:kern w:val="0"/>
          <w:sz w:val="24"/>
          <w:szCs w:val="24"/>
          <w:lang w:eastAsia="zh-CN"/>
          <w14:textFill>
            <w14:solidFill>
              <w14:schemeClr w14:val="tx1"/>
            </w14:solidFill>
          </w14:textFill>
        </w:rPr>
        <w:t>，</w:t>
      </w:r>
      <w:r>
        <w:rPr>
          <w:rFonts w:hint="eastAsia" w:ascii="彩虹粗仿宋" w:hAnsi="彩虹粗仿宋" w:eastAsia="彩虹粗仿宋" w:cs="彩虹粗仿宋"/>
          <w:snapToGrid w:val="0"/>
          <w:color w:val="000000" w:themeColor="text1"/>
          <w:kern w:val="0"/>
          <w:sz w:val="24"/>
          <w:szCs w:val="24"/>
          <w14:textFill>
            <w14:solidFill>
              <w14:schemeClr w14:val="tx1"/>
            </w14:solidFill>
          </w14:textFill>
        </w:rPr>
        <w:t>收到验收证明文件等文件后</w:t>
      </w:r>
      <w:r>
        <w:rPr>
          <w:rFonts w:hint="eastAsia" w:ascii="彩虹粗仿宋" w:hAnsi="彩虹粗仿宋" w:eastAsia="彩虹粗仿宋" w:cs="彩虹粗仿宋"/>
          <w:snapToGrid w:val="0"/>
          <w:color w:val="000000" w:themeColor="text1"/>
          <w:kern w:val="0"/>
          <w:sz w:val="24"/>
          <w:szCs w:val="24"/>
          <w:lang w:eastAsia="zh-CN"/>
          <w14:textFill>
            <w14:solidFill>
              <w14:schemeClr w14:val="tx1"/>
            </w14:solidFill>
          </w14:textFill>
        </w:rPr>
        <w:t>，</w:t>
      </w:r>
      <w:r>
        <w:rPr>
          <w:rFonts w:hint="eastAsia" w:ascii="彩虹粗仿宋" w:hAnsi="彩虹粗仿宋" w:eastAsia="彩虹粗仿宋" w:cs="彩虹粗仿宋"/>
          <w:snapToGrid w:val="0"/>
          <w:color w:val="000000" w:themeColor="text1"/>
          <w:kern w:val="0"/>
          <w:sz w:val="24"/>
          <w:szCs w:val="24"/>
          <w14:textFill>
            <w14:solidFill>
              <w14:schemeClr w14:val="tx1"/>
            </w14:solidFill>
          </w14:textFill>
        </w:rPr>
        <w:t>60天内支付项目总价的50%；</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彩虹粗仿宋" w:hAnsi="彩虹粗仿宋" w:eastAsia="彩虹粗仿宋" w:cs="彩虹粗仿宋"/>
          <w:snapToGrid w:val="0"/>
          <w:color w:val="000000"/>
          <w:kern w:val="0"/>
          <w:sz w:val="24"/>
          <w:szCs w:val="24"/>
        </w:rPr>
      </w:pPr>
      <w:r>
        <w:rPr>
          <w:rFonts w:hint="eastAsia" w:ascii="彩虹粗仿宋" w:hAnsi="彩虹粗仿宋" w:eastAsia="彩虹粗仿宋" w:cs="彩虹粗仿宋"/>
          <w:snapToGrid w:val="0"/>
          <w:color w:val="000000" w:themeColor="text1"/>
          <w:kern w:val="0"/>
          <w:sz w:val="24"/>
          <w:szCs w:val="24"/>
          <w14:textFill>
            <w14:solidFill>
              <w14:schemeClr w14:val="tx1"/>
            </w14:solidFill>
          </w14:textFill>
        </w:rPr>
        <w:t>第三期：</w:t>
      </w:r>
      <w:r>
        <w:rPr>
          <w:rFonts w:hint="eastAsia" w:ascii="彩虹粗仿宋" w:hAnsi="彩虹粗仿宋" w:eastAsia="彩虹粗仿宋" w:cs="彩虹粗仿宋"/>
          <w:snapToGrid w:val="0"/>
          <w:color w:val="000000" w:themeColor="text1"/>
          <w:kern w:val="0"/>
          <w:sz w:val="24"/>
          <w:szCs w:val="24"/>
          <w:lang w:eastAsia="zh-CN"/>
          <w14:textFill>
            <w14:solidFill>
              <w14:schemeClr w14:val="tx1"/>
            </w14:solidFill>
          </w14:textFill>
        </w:rPr>
        <w:t>项目</w:t>
      </w:r>
      <w:r>
        <w:rPr>
          <w:rFonts w:hint="eastAsia" w:ascii="彩虹粗仿宋" w:hAnsi="彩虹粗仿宋" w:eastAsia="彩虹粗仿宋" w:cs="彩虹粗仿宋"/>
          <w:snapToGrid w:val="0"/>
          <w:color w:val="000000" w:themeColor="text1"/>
          <w:kern w:val="0"/>
          <w:sz w:val="24"/>
          <w:szCs w:val="24"/>
          <w14:textFill>
            <w14:solidFill>
              <w14:schemeClr w14:val="tx1"/>
            </w14:solidFill>
          </w14:textFill>
        </w:rPr>
        <w:t>免费维护期满后</w:t>
      </w:r>
      <w:r>
        <w:rPr>
          <w:rFonts w:hint="eastAsia" w:ascii="彩虹粗仿宋" w:hAnsi="彩虹粗仿宋" w:eastAsia="彩虹粗仿宋" w:cs="彩虹粗仿宋"/>
          <w:snapToGrid w:val="0"/>
          <w:color w:val="000000" w:themeColor="text1"/>
          <w:kern w:val="0"/>
          <w:sz w:val="24"/>
          <w:szCs w:val="24"/>
          <w:lang w:eastAsia="zh-CN"/>
          <w14:textFill>
            <w14:solidFill>
              <w14:schemeClr w14:val="tx1"/>
            </w14:solidFill>
          </w14:textFill>
        </w:rPr>
        <w:t>，</w:t>
      </w:r>
      <w:r>
        <w:rPr>
          <w:rFonts w:hint="eastAsia" w:ascii="彩虹粗仿宋" w:hAnsi="彩虹粗仿宋" w:eastAsia="彩虹粗仿宋" w:cs="彩虹粗仿宋"/>
          <w:snapToGrid w:val="0"/>
          <w:color w:val="000000" w:themeColor="text1"/>
          <w:kern w:val="0"/>
          <w:sz w:val="24"/>
          <w:szCs w:val="24"/>
          <w14:textFill>
            <w14:solidFill>
              <w14:schemeClr w14:val="tx1"/>
            </w14:solidFill>
          </w14:textFill>
        </w:rPr>
        <w:t>收到付款申请等相关材料</w:t>
      </w:r>
      <w:r>
        <w:rPr>
          <w:rFonts w:hint="eastAsia" w:ascii="彩虹粗仿宋" w:hAnsi="彩虹粗仿宋" w:eastAsia="彩虹粗仿宋" w:cs="彩虹粗仿宋"/>
          <w:snapToGrid w:val="0"/>
          <w:color w:val="000000" w:themeColor="text1"/>
          <w:kern w:val="0"/>
          <w:sz w:val="24"/>
          <w:szCs w:val="24"/>
          <w:lang w:eastAsia="zh-CN"/>
          <w14:textFill>
            <w14:solidFill>
              <w14:schemeClr w14:val="tx1"/>
            </w14:solidFill>
          </w14:textFill>
        </w:rPr>
        <w:t>，</w:t>
      </w:r>
      <w:r>
        <w:rPr>
          <w:rFonts w:hint="eastAsia" w:ascii="彩虹粗仿宋" w:hAnsi="彩虹粗仿宋" w:eastAsia="彩虹粗仿宋" w:cs="彩虹粗仿宋"/>
          <w:snapToGrid w:val="0"/>
          <w:color w:val="000000" w:themeColor="text1"/>
          <w:kern w:val="0"/>
          <w:sz w:val="24"/>
          <w:szCs w:val="24"/>
          <w14:textFill>
            <w14:solidFill>
              <w14:schemeClr w14:val="tx1"/>
            </w14:solidFill>
          </w14:textFill>
        </w:rPr>
        <w:t>60天内支付质保金</w:t>
      </w:r>
      <w:r>
        <w:rPr>
          <w:rFonts w:hint="eastAsia" w:ascii="彩虹粗仿宋" w:hAnsi="彩虹粗仿宋" w:eastAsia="彩虹粗仿宋" w:cs="彩虹粗仿宋"/>
          <w:snapToGrid w:val="0"/>
          <w:color w:val="000000"/>
          <w:kern w:val="0"/>
          <w:sz w:val="24"/>
          <w:szCs w:val="24"/>
        </w:rPr>
        <w:t>5%。</w:t>
      </w:r>
    </w:p>
    <w:p>
      <w:pPr>
        <w:adjustRightInd w:val="0"/>
        <w:snapToGrid w:val="0"/>
        <w:spacing w:line="560" w:lineRule="atLeast"/>
        <w:ind w:firstLine="480" w:firstLineChars="200"/>
        <w:rPr>
          <w:rFonts w:hint="eastAsia" w:ascii="仿宋" w:hAnsi="仿宋" w:eastAsia="仿宋" w:cs="仿宋"/>
          <w:snapToGrid w:val="0"/>
          <w:color w:val="000000"/>
          <w:kern w:val="0"/>
          <w:sz w:val="24"/>
          <w:szCs w:val="24"/>
        </w:rPr>
      </w:pPr>
    </w:p>
    <w:p>
      <w:pPr>
        <w:ind w:firstLine="420" w:firstLineChars="200"/>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方正宋体-人口信息-P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Times New Roman (标题 CS)">
    <w:altName w:val="DejaVu Sans"/>
    <w:panose1 w:val="020B0604020202020204"/>
    <w:charset w:val="86"/>
    <w:family w:val="roman"/>
    <w:pitch w:val="default"/>
    <w:sig w:usb0="00000000" w:usb1="00000000" w:usb2="00000000" w:usb3="00000000" w:csb0="00000000"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仿宋">
    <w:altName w:val="方正仿宋_GBK"/>
    <w:panose1 w:val="02010609060101010101"/>
    <w:charset w:val="00"/>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CE2020"/>
    <w:multiLevelType w:val="multilevel"/>
    <w:tmpl w:val="45CE2020"/>
    <w:lvl w:ilvl="0" w:tentative="0">
      <w:start w:val="1"/>
      <w:numFmt w:val="chineseCountingThousand"/>
      <w:suff w:val="space"/>
      <w:lvlText w:val="%1"/>
      <w:lvlJc w:val="left"/>
      <w:pPr>
        <w:ind w:left="785" w:hanging="425"/>
      </w:pPr>
      <w:rPr>
        <w:rFonts w:hint="eastAsia"/>
      </w:rPr>
    </w:lvl>
    <w:lvl w:ilvl="1" w:tentative="0">
      <w:start w:val="1"/>
      <w:numFmt w:val="decimal"/>
      <w:pStyle w:val="4"/>
      <w:suff w:val="space"/>
      <w:lvlText w:val="%2"/>
      <w:lvlJc w:val="left"/>
      <w:pPr>
        <w:ind w:left="360" w:firstLine="0"/>
      </w:pPr>
      <w:rPr>
        <w:rFonts w:hint="eastAsia"/>
      </w:rPr>
    </w:lvl>
    <w:lvl w:ilvl="2" w:tentative="0">
      <w:start w:val="1"/>
      <w:numFmt w:val="decimal"/>
      <w:suff w:val="space"/>
      <w:lvlText w:val="%2.%3"/>
      <w:lvlJc w:val="left"/>
      <w:pPr>
        <w:ind w:left="360" w:firstLine="0"/>
      </w:pPr>
      <w:rPr>
        <w:rFonts w:hint="eastAsia"/>
      </w:rPr>
    </w:lvl>
    <w:lvl w:ilvl="3" w:tentative="0">
      <w:start w:val="1"/>
      <w:numFmt w:val="decimal"/>
      <w:suff w:val="space"/>
      <w:lvlText w:val="%2.%3.%4"/>
      <w:lvlJc w:val="left"/>
      <w:pPr>
        <w:ind w:left="360" w:firstLine="0"/>
      </w:pPr>
      <w:rPr>
        <w:rFonts w:hint="eastAsia"/>
      </w:rPr>
    </w:lvl>
    <w:lvl w:ilvl="4" w:tentative="0">
      <w:start w:val="1"/>
      <w:numFmt w:val="decimal"/>
      <w:suff w:val="space"/>
      <w:lvlText w:val="%2.%3.%4.%5"/>
      <w:lvlJc w:val="left"/>
      <w:pPr>
        <w:ind w:left="360" w:firstLine="0"/>
      </w:pPr>
      <w:rPr>
        <w:rFonts w:hint="eastAsia"/>
      </w:rPr>
    </w:lvl>
    <w:lvl w:ilvl="5" w:tentative="0">
      <w:start w:val="1"/>
      <w:numFmt w:val="decimal"/>
      <w:lvlText w:val="%2.%3.%4.%5.%6"/>
      <w:lvlJc w:val="left"/>
      <w:pPr>
        <w:ind w:left="3620" w:hanging="1134"/>
      </w:pPr>
      <w:rPr>
        <w:rFonts w:hint="eastAsia"/>
      </w:rPr>
    </w:lvl>
    <w:lvl w:ilvl="6" w:tentative="0">
      <w:start w:val="1"/>
      <w:numFmt w:val="decimal"/>
      <w:lvlText w:val="%1.%2.%3.%4.%5.%6.%7"/>
      <w:lvlJc w:val="left"/>
      <w:pPr>
        <w:ind w:left="4187" w:hanging="1276"/>
      </w:pPr>
      <w:rPr>
        <w:rFonts w:hint="eastAsia"/>
      </w:rPr>
    </w:lvl>
    <w:lvl w:ilvl="7" w:tentative="0">
      <w:start w:val="1"/>
      <w:numFmt w:val="decimal"/>
      <w:lvlText w:val="%1.%2.%3.%4.%5.%6.%7.%8"/>
      <w:lvlJc w:val="left"/>
      <w:pPr>
        <w:ind w:left="4754" w:hanging="1418"/>
      </w:pPr>
      <w:rPr>
        <w:rFonts w:hint="eastAsia"/>
      </w:rPr>
    </w:lvl>
    <w:lvl w:ilvl="8" w:tentative="0">
      <w:start w:val="1"/>
      <w:numFmt w:val="decimal"/>
      <w:lvlText w:val="%1.%2.%3.%4.%5.%6.%7.%8.%9"/>
      <w:lvlJc w:val="left"/>
      <w:pPr>
        <w:ind w:left="546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VkN2Y5OTNkYzU3OTVmY2M5YjlmNGJmNDQxMmFlNWYifQ=="/>
  </w:docVars>
  <w:rsids>
    <w:rsidRoot w:val="00E52834"/>
    <w:rsid w:val="000206E5"/>
    <w:rsid w:val="00123FAE"/>
    <w:rsid w:val="00AB58BF"/>
    <w:rsid w:val="00E52834"/>
    <w:rsid w:val="00EB529C"/>
    <w:rsid w:val="5FAE4C16"/>
    <w:rsid w:val="6EF740DE"/>
    <w:rsid w:val="7FEBD60F"/>
    <w:rsid w:val="FF9580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2"/>
    <w:basedOn w:val="1"/>
    <w:next w:val="1"/>
    <w:unhideWhenUsed/>
    <w:qFormat/>
    <w:uiPriority w:val="9"/>
    <w:pPr>
      <w:keepNext/>
      <w:keepLines/>
      <w:numPr>
        <w:ilvl w:val="1"/>
        <w:numId w:val="1"/>
      </w:numPr>
      <w:spacing w:before="120" w:after="120"/>
      <w:outlineLvl w:val="1"/>
    </w:pPr>
    <w:rPr>
      <w:rFonts w:eastAsia="黑体" w:cs="Times New Roman (标题 CS)"/>
      <w:b/>
      <w:bCs/>
      <w:sz w:val="32"/>
      <w:szCs w:val="32"/>
      <w:shd w:val="clear" w:color="auto" w:fill="FFFFFF"/>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line="360" w:lineRule="auto"/>
    </w:pPr>
    <w:rPr>
      <w:b/>
      <w:bCs/>
      <w:sz w:val="24"/>
    </w:rPr>
  </w:style>
  <w:style w:type="paragraph" w:styleId="3">
    <w:name w:val="Body Text 2"/>
    <w:basedOn w:val="1"/>
    <w:unhideWhenUsed/>
    <w:qFormat/>
    <w:uiPriority w:val="99"/>
    <w:pPr>
      <w:spacing w:after="120" w:line="480" w:lineRule="auto"/>
    </w:pPr>
  </w:style>
  <w:style w:type="paragraph" w:styleId="5">
    <w:name w:val="Normal Indent"/>
    <w:basedOn w:val="1"/>
    <w:qFormat/>
    <w:uiPriority w:val="0"/>
    <w:pPr>
      <w:ind w:firstLine="420" w:firstLineChars="0"/>
      <w:jc w:val="both"/>
    </w:pPr>
    <w:rPr>
      <w:b/>
      <w:caps/>
      <w:kern w:val="0"/>
      <w:sz w:val="20"/>
      <w:szCs w:val="20"/>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qFormat/>
    <w:uiPriority w:val="99"/>
    <w:rPr>
      <w:sz w:val="18"/>
      <w:szCs w:val="18"/>
    </w:rPr>
  </w:style>
  <w:style w:type="character" w:customStyle="1" w:styleId="11">
    <w:name w:val="页脚 Char"/>
    <w:basedOn w:val="9"/>
    <w:link w:val="6"/>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12</Words>
  <Characters>75</Characters>
  <Lines>1</Lines>
  <Paragraphs>1</Paragraphs>
  <TotalTime>2</TotalTime>
  <ScaleCrop>false</ScaleCrop>
  <LinksUpToDate>false</LinksUpToDate>
  <CharactersWithSpaces>86</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2023-11-18T17:15:00Z</dcterms:created>
  <dc:creator>供应商管理科</dc:creator>
  <cp:lastModifiedBy>ccb</cp:lastModifiedBy>
  <dcterms:modified xsi:type="dcterms:W3CDTF">2026-05-27T17:33:30Z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D08E1F75800BBDDC040E106A194714E0_43</vt:lpwstr>
  </property>
</Properties>
</file>