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0923">
      <w:pPr>
        <w:jc w:val="center"/>
        <w:rPr>
          <w:rFonts w:ascii="彩虹小标宋" w:eastAsia="彩虹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彩虹小标宋" w:eastAsia="彩虹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</w:p>
    <w:p w14:paraId="4E4635E5">
      <w:pPr>
        <w:jc w:val="center"/>
        <w:rPr>
          <w:rFonts w:ascii="彩虹小标宋" w:eastAsia="彩虹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CB7B66">
      <w:pPr>
        <w:jc w:val="left"/>
        <w:rPr>
          <w:rFonts w:ascii="彩虹粗仿宋" w:eastAsia="彩虹粗仿宋" w:hAnsiTheme="minorEastAsia"/>
          <w:sz w:val="32"/>
          <w:szCs w:val="32"/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24734097">
      <w:pPr>
        <w:ind w:firstLine="640" w:firstLineChars="200"/>
        <w:jc w:val="left"/>
        <w:rPr>
          <w:rFonts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一、服务内容</w:t>
      </w:r>
    </w:p>
    <w:p w14:paraId="288C4EC4">
      <w:pPr>
        <w:ind w:firstLine="643" w:firstLineChars="200"/>
        <w:jc w:val="left"/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（一）服务对象</w:t>
      </w:r>
    </w:p>
    <w:p w14:paraId="2F1C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惠州市分行</w:t>
      </w:r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汝湖档案库房、博罗档案库房（三楼）、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彩虹粗仿宋" w:eastAsia="彩虹粗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分行本部5楼监控中心，共62个气体灭火系统钢质无缝气瓶，开展全流程法定检验及配套服务，</w:t>
      </w:r>
    </w:p>
    <w:p w14:paraId="2CB31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（二）工作内容</w:t>
      </w:r>
    </w:p>
    <w:p w14:paraId="0770E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1.现场勘查、安全交底、专项施工方案编制，落实重点部位临时消防防护措施；</w:t>
      </w:r>
    </w:p>
    <w:p w14:paraId="45CF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气瓶及配套阀件、附件安全拆卸、专业防护、密闭转运至合规检验场地；</w:t>
      </w:r>
    </w:p>
    <w:p w14:paraId="2B5D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按国家消防规范完成气瓶外观、壁厚、水压、气密、瓶阀、内部等全项法定检验；</w:t>
      </w:r>
    </w:p>
    <w:p w14:paraId="7F84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合格气瓶除锈、防腐、标识更新，灭火剂/驱动气体检测、回收、合规充装；</w:t>
      </w:r>
    </w:p>
    <w:p w14:paraId="6B5E9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不合格/报废气瓶按规定做不可逆销毁处置，出具报废证明；</w:t>
      </w:r>
    </w:p>
    <w:p w14:paraId="5774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检验合格气瓶运回原点位，精准复位安装、系统密封调试、联动功能复检；</w:t>
      </w:r>
    </w:p>
    <w:p w14:paraId="46FBA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出具合法有效气瓶检验报告，整理全套台账、施工、验收资料并完整移交；</w:t>
      </w:r>
    </w:p>
    <w:p w14:paraId="6838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施工全程完工清场，恢复现场原貌，保障档案库房、监控中心施工期间安全不间断。</w:t>
      </w:r>
    </w:p>
    <w:p w14:paraId="333A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（三）服务范围说明</w:t>
      </w:r>
    </w:p>
    <w:p w14:paraId="2CF7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本项目为总价包干服务，包含检验、拆装、运输、充装、维修、更换、保洁、税费、安全措施、资料编制等全部费用，采购人不再支付额外费用。</w:t>
      </w:r>
    </w:p>
    <w:p w14:paraId="710528DE">
      <w:pPr>
        <w:ind w:firstLine="640" w:firstLineChars="200"/>
        <w:jc w:val="left"/>
        <w:rPr>
          <w:rFonts w:hint="eastAsia" w:ascii="彩虹粗仿宋" w:eastAsia="彩虹粗仿宋" w:hAnsiTheme="minorEastAsia"/>
          <w:sz w:val="30"/>
          <w:szCs w:val="30"/>
        </w:rPr>
      </w:pPr>
      <w:r>
        <w:rPr>
          <w:rFonts w:hint="eastAsia"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二、服务团队</w:t>
      </w:r>
      <w:r>
        <w:rPr>
          <w:rFonts w:hint="eastAsia" w:ascii="彩虹粗仿宋" w:eastAsia="彩虹粗仿宋" w:hAnsiTheme="minorEastAsia"/>
          <w:sz w:val="30"/>
          <w:szCs w:val="30"/>
        </w:rPr>
        <w:t xml:space="preserve"> </w:t>
      </w:r>
    </w:p>
    <w:p w14:paraId="40DFB091">
      <w:pPr>
        <w:spacing w:line="360" w:lineRule="auto"/>
        <w:ind w:firstLine="600" w:firstLineChars="200"/>
        <w:jc w:val="left"/>
        <w:rPr>
          <w:rFonts w:hint="eastAsia" w:ascii="彩虹粗仿宋" w:eastAsia="彩虹粗仿宋" w:hAnsiTheme="minorEastAsia"/>
          <w:sz w:val="30"/>
          <w:szCs w:val="30"/>
          <w:lang w:eastAsia="zh-CN"/>
        </w:rPr>
      </w:pP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（一）拟投入本项目的现场作业人员，至少配备</w:t>
      </w:r>
      <w:r>
        <w:rPr>
          <w:rFonts w:hint="eastAsia" w:ascii="彩虹粗仿宋" w:eastAsia="彩虹粗仿宋" w:hAnsiTheme="minorEastAsia"/>
          <w:sz w:val="30"/>
          <w:szCs w:val="30"/>
          <w:lang w:val="en-US" w:eastAsia="zh-CN"/>
        </w:rPr>
        <w:t>2名及以上持《特种设备检验人员证》（气瓶检验）的持证检验师</w:t>
      </w: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；</w:t>
      </w:r>
    </w:p>
    <w:p w14:paraId="580C313F">
      <w:pPr>
        <w:spacing w:line="360" w:lineRule="auto"/>
        <w:ind w:firstLine="600" w:firstLineChars="200"/>
        <w:jc w:val="left"/>
        <w:rPr>
          <w:rFonts w:hint="eastAsia" w:ascii="彩虹粗仿宋" w:eastAsia="彩虹粗仿宋" w:hAnsiTheme="minorEastAsia"/>
          <w:sz w:val="30"/>
          <w:szCs w:val="30"/>
        </w:rPr>
      </w:pP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（二）</w:t>
      </w:r>
      <w:r>
        <w:rPr>
          <w:rFonts w:hint="eastAsia" w:ascii="彩虹粗仿宋" w:eastAsia="彩虹粗仿宋" w:hAnsiTheme="minorEastAsia"/>
          <w:sz w:val="30"/>
          <w:szCs w:val="30"/>
        </w:rPr>
        <w:t>供应商须承诺不转包、不分包、不挂靠，全部作业由本单位或合规合作单位完成，承担全部安全及质量责任。</w:t>
      </w:r>
    </w:p>
    <w:p w14:paraId="47CD8713">
      <w:pPr>
        <w:spacing w:line="360" w:lineRule="auto"/>
        <w:ind w:firstLine="600" w:firstLineChars="200"/>
        <w:jc w:val="left"/>
        <w:rPr>
          <w:rFonts w:ascii="彩虹粗仿宋" w:eastAsia="彩虹粗仿宋" w:cs="仿宋_GB2312" w:hAnsiTheme="minorEastAsia"/>
          <w:kern w:val="0"/>
          <w:sz w:val="30"/>
          <w:szCs w:val="30"/>
        </w:rPr>
      </w:pPr>
      <w:r>
        <w:rPr>
          <w:rFonts w:hint="eastAsia" w:ascii="彩虹粗仿宋" w:eastAsia="彩虹粗仿宋" w:hAnsiTheme="minorEastAsia"/>
          <w:sz w:val="30"/>
          <w:szCs w:val="30"/>
          <w:lang w:eastAsia="zh-CN"/>
        </w:rPr>
        <w:t>（三）</w:t>
      </w:r>
      <w:r>
        <w:rPr>
          <w:rFonts w:hint="eastAsia" w:ascii="彩虹粗仿宋" w:eastAsia="彩虹粗仿宋" w:hAnsiTheme="minorEastAsia"/>
          <w:sz w:val="30"/>
          <w:szCs w:val="30"/>
        </w:rPr>
        <w:t>进场人员须严格遵守我行安保、保密、门禁、现场管理规定，服从我行现场管理人员统一调度。</w:t>
      </w:r>
    </w:p>
    <w:p w14:paraId="2F7D24AC">
      <w:pPr>
        <w:spacing w:line="360" w:lineRule="auto"/>
        <w:ind w:firstLine="640" w:firstLineChars="200"/>
        <w:jc w:val="left"/>
        <w:rPr>
          <w:rFonts w:ascii="彩虹黑体" w:eastAsia="彩虹黑体" w:hAnsiTheme="minorEastAsia"/>
          <w:bCs/>
          <w:sz w:val="32"/>
          <w:szCs w:val="32"/>
        </w:rPr>
      </w:pPr>
      <w:r>
        <w:rPr>
          <w:rFonts w:hint="eastAsia" w:ascii="彩虹黑体" w:eastAsia="彩虹黑体" w:hAnsiTheme="minorEastAsia"/>
          <w:bCs/>
          <w:sz w:val="32"/>
          <w:szCs w:val="32"/>
        </w:rPr>
        <w:t>三、服务质量要求</w:t>
      </w:r>
    </w:p>
    <w:p w14:paraId="1F37C3E5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（一）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执行规范标准</w:t>
      </w:r>
    </w:p>
    <w:p w14:paraId="26A35881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本项目全过程必须严格执行以下国家、行业强制性标准：</w:t>
      </w:r>
    </w:p>
    <w:p w14:paraId="4E730EBB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1.《气瓶安全技术规程》（TSG 23-2021）</w:t>
      </w:r>
    </w:p>
    <w:p w14:paraId="24948B85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2.《建筑消防设施的维护管理》（GB 25201-2010）</w:t>
      </w:r>
    </w:p>
    <w:p w14:paraId="2713A8B4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3.《气体灭火系统施工及验收标准》（GB 50263）</w:t>
      </w:r>
    </w:p>
    <w:p w14:paraId="2E51B3EF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4.《消防产品现场检查判定规则》（GA 588）</w:t>
      </w:r>
    </w:p>
    <w:p w14:paraId="0CFFF0DE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5.《气瓶水压试验方法》（GB/T 13005）</w:t>
      </w:r>
    </w:p>
    <w:p w14:paraId="4DA8C7B2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6.《气瓶气密性试验方法》</w:t>
      </w:r>
    </w:p>
    <w:p w14:paraId="1C5F047E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7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. 国家及惠州市现行特种设备、消防、应急管理、危险化学品管理相关法律法规</w:t>
      </w:r>
    </w:p>
    <w:p w14:paraId="2FDCD957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（二）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气瓶检验核心技术要求</w:t>
      </w:r>
    </w:p>
    <w:p w14:paraId="53276DBB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1.检验对象：气体灭火系统灭火剂储存气瓶、驱动气体气瓶，全部纳入法定检验范围；</w:t>
      </w:r>
    </w:p>
    <w:p w14:paraId="7A395891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2.检验结论判定：严格按照TSG 23-2021判定合格、返修、报废，严禁超标准使用、带病运行；</w:t>
      </w:r>
    </w:p>
    <w:p w14:paraId="6279ADDC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3.检验周期执行：钢质无缝气瓶定期检验</w:t>
      </w: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按国家、行业规范标准执行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，自制造日期起算</w:t>
      </w: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，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本次检验完成后，重新起算检验周期，供应商须在报告、瓶身标识中明确下次检验日期；</w:t>
      </w:r>
    </w:p>
    <w:p w14:paraId="1D67A5C2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4.报废管控要求</w:t>
      </w: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：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存在严重腐蚀、壁厚不足、裂纹、变形、水压试验不合格、超使用年限、瓶阀失效等情形，必须依法强制报废，不得维修回用；</w:t>
      </w:r>
    </w:p>
    <w:p w14:paraId="1A995B68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5.药剂管控要求：七氟丙烷等灭火剂须符合国家标准，纯度、压力、充装量达标，严禁使用不合格、回收翻新、来源不明药剂；</w:t>
      </w:r>
    </w:p>
    <w:p w14:paraId="5784D676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6.标识管理要求：合格气瓶须张贴检验合格标识、下次检验日期、充装介质、压力、重量、出厂编号等唯一性标识，标识清晰、牢固、可追溯；</w:t>
      </w:r>
    </w:p>
    <w:p w14:paraId="27BF0A39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7.安全附件要求：瓶头阀、安全阀、压力表、单向阀、接头密封件等，检验不合格必须全新更换，不得维修复用。</w:t>
      </w:r>
    </w:p>
    <w:p w14:paraId="7C442F20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eastAsia="zh-CN"/>
        </w:rPr>
        <w:t>（三）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现场施工安全要求</w:t>
      </w:r>
    </w:p>
    <w:p w14:paraId="0E4C0389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1.施工前须向采购人提交专项施工方案、安全应急预案、疫情/消防/防盗管控措施、人员及设备清单，经采购人审批后方可进场；</w:t>
      </w:r>
    </w:p>
    <w:p w14:paraId="18C40921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2.档案库房、监控中心等重点部位，施工须安排在非工作时段、闭库时段，全程由采购人专人旁站监督；</w:t>
      </w:r>
    </w:p>
    <w:p w14:paraId="0AD0BF05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3.严格执行动火审批、用电审批、高空作业、吊装作业、危化品操作审批制度；</w:t>
      </w:r>
    </w:p>
    <w:p w14:paraId="78A27FA3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4.施工期间设置警戒区域、防护设施、消防器材、应急疏散通道，配备专职安全员；</w:t>
      </w:r>
    </w:p>
    <w:p w14:paraId="39FFF818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</w:rPr>
        <w:t>5.气瓶拆卸、转运、存放全程防倾倒、防碰撞、防泄漏、防高温、防静电；</w:t>
      </w:r>
    </w:p>
    <w:p w14:paraId="01B1854C">
      <w:pPr>
        <w:spacing w:line="360" w:lineRule="auto"/>
        <w:ind w:firstLine="640" w:firstLineChars="200"/>
        <w:jc w:val="left"/>
        <w:rPr>
          <w:rFonts w:hint="default" w:ascii="彩虹粗仿宋" w:hAnsi="宋体" w:eastAsia="彩虹粗仿宋" w:cs="宋体"/>
          <w:bCs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6.备用气瓶分区直立固定存放，氧、可燃气瓶隔离间距</w:t>
      </w:r>
      <w:r>
        <w:rPr>
          <w:rFonts w:hint="eastAsia" w:ascii="东文宋体" w:hAnsi="东文宋体" w:eastAsia="东文宋体" w:cs="东文宋体"/>
          <w:bCs/>
          <w:sz w:val="32"/>
          <w:szCs w:val="32"/>
          <w:lang w:val="en-US" w:eastAsia="zh-CN"/>
        </w:rPr>
        <w:t>≥</w:t>
      </w: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5m、距动火点</w:t>
      </w:r>
      <w:r>
        <w:rPr>
          <w:rFonts w:hint="eastAsia" w:ascii="东文宋体" w:hAnsi="东文宋体" w:eastAsia="东文宋体" w:cs="东文宋体"/>
          <w:bCs/>
          <w:sz w:val="32"/>
          <w:szCs w:val="32"/>
          <w:lang w:val="en-US" w:eastAsia="zh-CN"/>
        </w:rPr>
        <w:t>≥</w:t>
      </w: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10m;换瓶先关阀泄压，留存瓶内余压，严禁暴晒、混放与超量堆存；</w:t>
      </w:r>
    </w:p>
    <w:p w14:paraId="769DADFF">
      <w:pPr>
        <w:spacing w:line="360" w:lineRule="auto"/>
        <w:ind w:firstLine="640" w:firstLineChars="200"/>
        <w:jc w:val="left"/>
        <w:rPr>
          <w:rFonts w:hint="eastAsia"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7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.施工期间须落实临时火灾防控替代措施，确保重点部位消防安全不断档；</w:t>
      </w:r>
    </w:p>
    <w:p w14:paraId="1F401361">
      <w:pPr>
        <w:spacing w:line="360" w:lineRule="auto"/>
        <w:ind w:firstLine="640" w:firstLineChars="200"/>
        <w:jc w:val="left"/>
        <w:rPr>
          <w:rFonts w:ascii="彩虹粗仿宋" w:hAnsi="宋体" w:eastAsia="彩虹粗仿宋" w:cs="宋体"/>
          <w:bCs/>
          <w:sz w:val="32"/>
          <w:szCs w:val="32"/>
        </w:rPr>
      </w:pPr>
      <w:r>
        <w:rPr>
          <w:rFonts w:hint="eastAsia" w:ascii="彩虹粗仿宋" w:hAnsi="宋体" w:eastAsia="彩虹粗仿宋" w:cs="宋体"/>
          <w:bCs/>
          <w:sz w:val="32"/>
          <w:szCs w:val="32"/>
          <w:lang w:val="en-US" w:eastAsia="zh-CN"/>
        </w:rPr>
        <w:t>8</w:t>
      </w:r>
      <w:r>
        <w:rPr>
          <w:rFonts w:hint="eastAsia" w:ascii="彩虹粗仿宋" w:hAnsi="宋体" w:eastAsia="彩虹粗仿宋" w:cs="宋体"/>
          <w:bCs/>
          <w:sz w:val="32"/>
          <w:szCs w:val="32"/>
        </w:rPr>
        <w:t>.发生安全事故、气体泄漏、设备损坏，供应商承担全部责任、费用及损失赔偿。。</w:t>
      </w:r>
    </w:p>
    <w:p w14:paraId="42681C89">
      <w:pPr>
        <w:spacing w:line="360" w:lineRule="auto"/>
        <w:ind w:firstLine="643" w:firstLineChars="200"/>
        <w:jc w:val="left"/>
        <w:rPr>
          <w:rFonts w:ascii="彩虹粗仿宋" w:eastAsia="彩虹粗仿宋" w:hAnsiTheme="minorEastAsia"/>
          <w:b/>
          <w:bCs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四、服务数量要求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71"/>
        <w:gridCol w:w="1323"/>
        <w:gridCol w:w="806"/>
        <w:gridCol w:w="825"/>
        <w:gridCol w:w="1579"/>
        <w:gridCol w:w="790"/>
      </w:tblGrid>
      <w:tr w14:paraId="6474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6A598B7D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71" w:type="dxa"/>
          </w:tcPr>
          <w:p w14:paraId="57F517ED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所属部位</w:t>
            </w:r>
          </w:p>
        </w:tc>
        <w:tc>
          <w:tcPr>
            <w:tcW w:w="1323" w:type="dxa"/>
          </w:tcPr>
          <w:p w14:paraId="5D2795CF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气瓶型号</w:t>
            </w:r>
          </w:p>
        </w:tc>
        <w:tc>
          <w:tcPr>
            <w:tcW w:w="806" w:type="dxa"/>
          </w:tcPr>
          <w:p w14:paraId="3DA96BB3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825" w:type="dxa"/>
          </w:tcPr>
          <w:p w14:paraId="3333D140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579" w:type="dxa"/>
          </w:tcPr>
          <w:p w14:paraId="234D46FC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检验状态</w:t>
            </w:r>
          </w:p>
        </w:tc>
        <w:tc>
          <w:tcPr>
            <w:tcW w:w="790" w:type="dxa"/>
          </w:tcPr>
          <w:p w14:paraId="1941E863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537A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45017E1A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71" w:type="dxa"/>
          </w:tcPr>
          <w:p w14:paraId="3F678D4F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汝湖档案库房</w:t>
            </w:r>
          </w:p>
        </w:tc>
        <w:tc>
          <w:tcPr>
            <w:tcW w:w="1323" w:type="dxa"/>
          </w:tcPr>
          <w:p w14:paraId="55BD75B4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QMP180/4.2</w:t>
            </w:r>
          </w:p>
        </w:tc>
        <w:tc>
          <w:tcPr>
            <w:tcW w:w="806" w:type="dxa"/>
          </w:tcPr>
          <w:p w14:paraId="7AB2CFAB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825" w:type="dxa"/>
          </w:tcPr>
          <w:p w14:paraId="4CB59EA3"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579" w:type="dxa"/>
          </w:tcPr>
          <w:p w14:paraId="3F2FA184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超检验期限</w:t>
            </w:r>
          </w:p>
        </w:tc>
        <w:tc>
          <w:tcPr>
            <w:tcW w:w="790" w:type="dxa"/>
          </w:tcPr>
          <w:p w14:paraId="3E239D5C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 w14:paraId="2EE1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68DDAFE3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71" w:type="dxa"/>
          </w:tcPr>
          <w:p w14:paraId="66E759E0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博罗档案库房三楼</w:t>
            </w:r>
          </w:p>
        </w:tc>
        <w:tc>
          <w:tcPr>
            <w:tcW w:w="1323" w:type="dxa"/>
          </w:tcPr>
          <w:p w14:paraId="3CD2FE97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</w:tcPr>
          <w:p w14:paraId="3664756B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825" w:type="dxa"/>
          </w:tcPr>
          <w:p w14:paraId="5C136490"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79" w:type="dxa"/>
          </w:tcPr>
          <w:p w14:paraId="4DE82332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超检验期限</w:t>
            </w:r>
          </w:p>
        </w:tc>
        <w:tc>
          <w:tcPr>
            <w:tcW w:w="790" w:type="dxa"/>
          </w:tcPr>
          <w:p w14:paraId="2AEAB4C0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 w14:paraId="5F29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0" w:type="dxa"/>
          </w:tcPr>
          <w:p w14:paraId="57739649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71" w:type="dxa"/>
          </w:tcPr>
          <w:p w14:paraId="2FF0473A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市分行本部监控中心</w:t>
            </w:r>
          </w:p>
        </w:tc>
        <w:tc>
          <w:tcPr>
            <w:tcW w:w="1323" w:type="dxa"/>
          </w:tcPr>
          <w:p w14:paraId="471EC2FE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</w:tcPr>
          <w:p w14:paraId="74F77AB3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825" w:type="dxa"/>
          </w:tcPr>
          <w:p w14:paraId="5F537E04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79" w:type="dxa"/>
          </w:tcPr>
          <w:p w14:paraId="542239BF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临近检验期限</w:t>
            </w:r>
          </w:p>
        </w:tc>
        <w:tc>
          <w:tcPr>
            <w:tcW w:w="790" w:type="dxa"/>
          </w:tcPr>
          <w:p w14:paraId="79DF5ACF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 w14:paraId="4ACD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0939344D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71" w:type="dxa"/>
          </w:tcPr>
          <w:p w14:paraId="76542D59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323" w:type="dxa"/>
          </w:tcPr>
          <w:p w14:paraId="6E632132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06" w:type="dxa"/>
          </w:tcPr>
          <w:p w14:paraId="4D62B39B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25" w:type="dxa"/>
          </w:tcPr>
          <w:p w14:paraId="42652F96"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579" w:type="dxa"/>
          </w:tcPr>
          <w:p w14:paraId="2F7655F7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 w14:paraId="4813D894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</w:tbl>
    <w:p w14:paraId="083EB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五、</w:t>
      </w: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服务供应安排</w:t>
      </w:r>
    </w:p>
    <w:p w14:paraId="647BBF42"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（一）总工期：自合同签订且采购人下达进场通知之日起，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0个自然日内完成全部检验、拆装、充装、调试、验收、资料移交工作；</w:t>
      </w:r>
    </w:p>
    <w:p w14:paraId="0FBD05B2"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（二）节点工期：</w:t>
      </w:r>
      <w:bookmarkStart w:id="0" w:name="_GoBack"/>
      <w:bookmarkEnd w:id="0"/>
    </w:p>
    <w:p w14:paraId="380DA0B0"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进场勘查及方案报审：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 w14:paraId="56797024"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现场拆卸转运：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15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 w14:paraId="08340486"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全部气瓶检验及处置：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20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 w14:paraId="3AE501AF"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回装调试及隐患整改：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15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 w14:paraId="293DFE66">
      <w:p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- 竣工报验及资料移交：</w:t>
      </w:r>
      <w:r>
        <w:rPr>
          <w:rFonts w:hint="eastAsia" w:ascii="彩虹粗仿宋" w:eastAsia="彩虹粗仿宋" w:hAnsiTheme="minorEastAsia"/>
          <w:bCs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个自然日</w:t>
      </w:r>
    </w:p>
    <w:p w14:paraId="1E491E22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Cs/>
          <w:sz w:val="32"/>
          <w:szCs w:val="32"/>
          <w:lang w:eastAsia="zh-CN"/>
        </w:rPr>
        <w:t>因采购人重点部位使用保障、法定节假日、上级检查等原因需调整工期的，以双方书面确认时间为准；供应商自身原因逾期，承担违约责任。</w:t>
      </w:r>
    </w:p>
    <w:p w14:paraId="74950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彩虹粗仿宋" w:eastAsia="彩虹粗仿宋" w:hAnsiTheme="minorEastAsia"/>
          <w:b/>
          <w:bCs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六、款项支付要求</w:t>
      </w:r>
    </w:p>
    <w:p w14:paraId="60D77C4B">
      <w:pPr>
        <w:spacing w:line="360" w:lineRule="auto"/>
        <w:ind w:firstLine="640" w:firstLineChars="200"/>
        <w:jc w:val="left"/>
        <w:rPr>
          <w:rFonts w:hint="eastAsia" w:ascii="彩虹粗仿宋" w:eastAsia="彩虹粗仿宋" w:cs="仿宋" w:hAnsiTheme="minorEastAsia"/>
          <w:sz w:val="32"/>
          <w:szCs w:val="32"/>
          <w:lang w:eastAsia="zh-CN"/>
        </w:rPr>
      </w:pPr>
      <w:r>
        <w:rPr>
          <w:rFonts w:hint="eastAsia" w:ascii="彩虹粗仿宋" w:eastAsia="彩虹粗仿宋" w:cs="仿宋" w:hAnsiTheme="minorEastAsia"/>
          <w:sz w:val="32"/>
          <w:szCs w:val="32"/>
          <w:lang w:eastAsia="zh-CN"/>
        </w:rPr>
        <w:t>检验报告验收合格后，一次性支付检验费用。</w:t>
      </w:r>
    </w:p>
    <w:p w14:paraId="06616C43">
      <w:pPr>
        <w:spacing w:line="360" w:lineRule="auto"/>
        <w:ind w:firstLine="643" w:firstLineChars="200"/>
        <w:jc w:val="left"/>
        <w:rPr>
          <w:rFonts w:hint="eastAsia" w:ascii="彩虹粗仿宋" w:eastAsia="彩虹粗仿宋" w:cs="仿宋" w:hAnsiTheme="minorEastAsia"/>
          <w:b/>
          <w:bCs/>
          <w:sz w:val="32"/>
          <w:szCs w:val="32"/>
          <w:lang w:eastAsia="zh-CN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七、售后服务要求</w:t>
      </w:r>
    </w:p>
    <w:p w14:paraId="0C42163C">
      <w:pPr>
        <w:spacing w:line="360" w:lineRule="auto"/>
        <w:ind w:firstLine="640" w:firstLineChars="200"/>
        <w:jc w:val="left"/>
        <w:rPr>
          <w:rFonts w:ascii="彩虹粗仿宋" w:eastAsia="彩虹粗仿宋" w:cs="仿宋" w:hAnsiTheme="minorEastAsia"/>
          <w:sz w:val="32"/>
          <w:szCs w:val="32"/>
        </w:rPr>
      </w:pPr>
      <w:r>
        <w:rPr>
          <w:rFonts w:hint="eastAsia" w:ascii="彩虹粗仿宋" w:eastAsia="彩虹粗仿宋" w:cs="仿宋" w:hAnsiTheme="minorEastAsia"/>
          <w:sz w:val="32"/>
          <w:szCs w:val="32"/>
          <w:lang w:eastAsia="zh-CN"/>
        </w:rPr>
        <w:t>项目最终验收合格，资料完整移交，自验收合格日起质保期</w:t>
      </w:r>
      <w:r>
        <w:rPr>
          <w:rFonts w:hint="eastAsia" w:ascii="彩虹粗仿宋" w:eastAsia="彩虹粗仿宋" w:cs="仿宋" w:hAnsiTheme="minorEastAsia"/>
          <w:sz w:val="32"/>
          <w:szCs w:val="32"/>
          <w:lang w:val="en-US" w:eastAsia="zh-CN"/>
        </w:rPr>
        <w:t>6个月，质保期内，应供应商检验、安装、充装、调试质量问题，导致气瓶泄漏、压力异常、系统故障、密封失效等，供应商需24小时响应，48小时内到场整改完毕，产生的全部费用供应商自行承担，若因检测疏漏导致安全事故的，供应商需承担相应的法律责任。</w:t>
      </w:r>
    </w:p>
    <w:p w14:paraId="1887DF1A">
      <w:pPr>
        <w:spacing w:line="360" w:lineRule="auto"/>
        <w:ind w:firstLine="643" w:firstLineChars="200"/>
        <w:jc w:val="left"/>
        <w:rPr>
          <w:rFonts w:ascii="彩虹粗仿宋" w:eastAsia="彩虹粗仿宋" w:hAnsiTheme="minorEastAsia"/>
          <w:b/>
          <w:bCs/>
          <w:sz w:val="32"/>
          <w:szCs w:val="32"/>
        </w:rPr>
      </w:pPr>
      <w:r>
        <w:rPr>
          <w:rFonts w:hint="eastAsia" w:ascii="彩虹粗仿宋" w:eastAsia="彩虹粗仿宋" w:hAnsiTheme="minorEastAsia"/>
          <w:b/>
          <w:bCs/>
          <w:sz w:val="32"/>
          <w:szCs w:val="32"/>
        </w:rPr>
        <w:t>八、报价要求。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71"/>
        <w:gridCol w:w="1323"/>
        <w:gridCol w:w="806"/>
        <w:gridCol w:w="1199"/>
        <w:gridCol w:w="1205"/>
        <w:gridCol w:w="790"/>
      </w:tblGrid>
      <w:tr w14:paraId="2F9B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0D963612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71" w:type="dxa"/>
          </w:tcPr>
          <w:p w14:paraId="79E1ED6D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所属部位</w:t>
            </w:r>
          </w:p>
        </w:tc>
        <w:tc>
          <w:tcPr>
            <w:tcW w:w="1323" w:type="dxa"/>
          </w:tcPr>
          <w:p w14:paraId="3251F098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气瓶型号</w:t>
            </w:r>
          </w:p>
        </w:tc>
        <w:tc>
          <w:tcPr>
            <w:tcW w:w="806" w:type="dxa"/>
            <w:vAlign w:val="top"/>
          </w:tcPr>
          <w:p w14:paraId="132A4397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199" w:type="dxa"/>
          </w:tcPr>
          <w:p w14:paraId="663FBFAD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检验总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价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（元,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含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税）</w:t>
            </w:r>
          </w:p>
        </w:tc>
        <w:tc>
          <w:tcPr>
            <w:tcW w:w="1205" w:type="dxa"/>
          </w:tcPr>
          <w:p w14:paraId="346AFE0A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检验总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价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（元,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  <w:lang w:eastAsia="zh-CN"/>
              </w:rPr>
              <w:t>不含</w:t>
            </w:r>
            <w:r>
              <w:rPr>
                <w:rFonts w:hint="eastAsia" w:ascii="彩虹粗仿宋" w:hAnsi="宋体" w:eastAsia="彩虹粗仿宋" w:cs="宋体"/>
                <w:color w:val="000000"/>
                <w:kern w:val="0"/>
                <w:sz w:val="15"/>
                <w:szCs w:val="15"/>
              </w:rPr>
              <w:t>税）</w:t>
            </w:r>
          </w:p>
        </w:tc>
        <w:tc>
          <w:tcPr>
            <w:tcW w:w="790" w:type="dxa"/>
          </w:tcPr>
          <w:p w14:paraId="37A29095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50B6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2BC0CFEC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71" w:type="dxa"/>
          </w:tcPr>
          <w:p w14:paraId="1B71F779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汝湖档案库房</w:t>
            </w:r>
          </w:p>
        </w:tc>
        <w:tc>
          <w:tcPr>
            <w:tcW w:w="1323" w:type="dxa"/>
          </w:tcPr>
          <w:p w14:paraId="2F9C98E8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QMP180/4.2</w:t>
            </w:r>
          </w:p>
        </w:tc>
        <w:tc>
          <w:tcPr>
            <w:tcW w:w="806" w:type="dxa"/>
            <w:vAlign w:val="top"/>
          </w:tcPr>
          <w:p w14:paraId="634B8EEC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1199" w:type="dxa"/>
          </w:tcPr>
          <w:p w14:paraId="26F32296"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 w14:paraId="697A54A5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0" w:type="dxa"/>
          </w:tcPr>
          <w:p w14:paraId="2B4F0870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 w14:paraId="04AA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4E500A58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71" w:type="dxa"/>
          </w:tcPr>
          <w:p w14:paraId="3A00AA88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博罗档案库房三楼</w:t>
            </w:r>
          </w:p>
        </w:tc>
        <w:tc>
          <w:tcPr>
            <w:tcW w:w="1323" w:type="dxa"/>
          </w:tcPr>
          <w:p w14:paraId="42536C30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  <w:vAlign w:val="top"/>
          </w:tcPr>
          <w:p w14:paraId="2FC411C0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99" w:type="dxa"/>
          </w:tcPr>
          <w:p w14:paraId="3EF119FC"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 w14:paraId="34910B89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 w14:paraId="5DC164AF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 w14:paraId="601E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0" w:type="dxa"/>
          </w:tcPr>
          <w:p w14:paraId="1818BB1C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71" w:type="dxa"/>
          </w:tcPr>
          <w:p w14:paraId="79C7D5FC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市分行本部监控中心</w:t>
            </w:r>
          </w:p>
        </w:tc>
        <w:tc>
          <w:tcPr>
            <w:tcW w:w="1323" w:type="dxa"/>
          </w:tcPr>
          <w:p w14:paraId="5EA2FA2C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</w:rPr>
              <w:t>QMP120/2.5</w:t>
            </w:r>
          </w:p>
        </w:tc>
        <w:tc>
          <w:tcPr>
            <w:tcW w:w="806" w:type="dxa"/>
            <w:vAlign w:val="top"/>
          </w:tcPr>
          <w:p w14:paraId="789D1F49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99" w:type="dxa"/>
          </w:tcPr>
          <w:p w14:paraId="16D74592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 w14:paraId="26BBD0DE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0" w:type="dxa"/>
          </w:tcPr>
          <w:p w14:paraId="290FDA23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  <w:tr w14:paraId="6723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</w:tcPr>
          <w:p w14:paraId="7A786B06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71" w:type="dxa"/>
          </w:tcPr>
          <w:p w14:paraId="5D0B6379">
            <w:pPr>
              <w:spacing w:line="360" w:lineRule="auto"/>
              <w:jc w:val="center"/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323" w:type="dxa"/>
          </w:tcPr>
          <w:p w14:paraId="4EC21DE7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806" w:type="dxa"/>
          </w:tcPr>
          <w:p w14:paraId="1F16C9B3"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1199" w:type="dxa"/>
          </w:tcPr>
          <w:p w14:paraId="6C0A4487">
            <w:pPr>
              <w:spacing w:line="360" w:lineRule="auto"/>
              <w:jc w:val="center"/>
              <w:rPr>
                <w:rFonts w:hint="default" w:ascii="彩虹粗仿宋" w:eastAsia="彩虹粗仿宋" w:hAnsi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</w:tcPr>
          <w:p w14:paraId="4579292C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790" w:type="dxa"/>
          </w:tcPr>
          <w:p w14:paraId="143321E4">
            <w:pPr>
              <w:spacing w:line="360" w:lineRule="auto"/>
              <w:jc w:val="center"/>
              <w:rPr>
                <w:rFonts w:ascii="彩虹粗仿宋" w:eastAsia="彩虹粗仿宋" w:hAnsiTheme="minorEastAsia"/>
                <w:bCs/>
                <w:sz w:val="21"/>
                <w:szCs w:val="21"/>
                <w:vertAlign w:val="baseline"/>
              </w:rPr>
            </w:pPr>
          </w:p>
        </w:tc>
      </w:tr>
    </w:tbl>
    <w:p w14:paraId="0ED3E16C">
      <w:pPr>
        <w:jc w:val="left"/>
        <w:rPr>
          <w:rFonts w:ascii="彩虹黑体" w:eastAsia="彩虹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8C71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-人口信息-P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方正宋体-人口信息-P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E239F"/>
    <w:multiLevelType w:val="singleLevel"/>
    <w:tmpl w:val="EDFE239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0NjJkYjBlNGI4Y2M1MDRjYmUzNDg5MTE1Yjk1YjEifQ=="/>
  </w:docVars>
  <w:rsids>
    <w:rsidRoot w:val="00E73CB9"/>
    <w:rsid w:val="001162E2"/>
    <w:rsid w:val="001246D0"/>
    <w:rsid w:val="002B38D4"/>
    <w:rsid w:val="006242A1"/>
    <w:rsid w:val="008A274A"/>
    <w:rsid w:val="00915C63"/>
    <w:rsid w:val="00E02347"/>
    <w:rsid w:val="00E73CB9"/>
    <w:rsid w:val="00FA47E6"/>
    <w:rsid w:val="1D6F9DF0"/>
    <w:rsid w:val="2DF26EC3"/>
    <w:rsid w:val="31C15A07"/>
    <w:rsid w:val="357FF561"/>
    <w:rsid w:val="3BEF0DD9"/>
    <w:rsid w:val="3F5B0199"/>
    <w:rsid w:val="3F6D0EDD"/>
    <w:rsid w:val="3F7EB799"/>
    <w:rsid w:val="3FE90B5F"/>
    <w:rsid w:val="47743503"/>
    <w:rsid w:val="479A6C3B"/>
    <w:rsid w:val="4F7F8DC8"/>
    <w:rsid w:val="55BEFD93"/>
    <w:rsid w:val="5D9A139F"/>
    <w:rsid w:val="5DAFA1A7"/>
    <w:rsid w:val="5DDFD1AE"/>
    <w:rsid w:val="5DFF7BF3"/>
    <w:rsid w:val="64E83296"/>
    <w:rsid w:val="65254C79"/>
    <w:rsid w:val="66F12422"/>
    <w:rsid w:val="6C29AC70"/>
    <w:rsid w:val="6EF9DE39"/>
    <w:rsid w:val="6EFCD6B7"/>
    <w:rsid w:val="6FFBCA50"/>
    <w:rsid w:val="74A80353"/>
    <w:rsid w:val="74E05C07"/>
    <w:rsid w:val="75F644E9"/>
    <w:rsid w:val="75FB088E"/>
    <w:rsid w:val="75FF3D0C"/>
    <w:rsid w:val="76175D6B"/>
    <w:rsid w:val="76D8F635"/>
    <w:rsid w:val="76DDFD7C"/>
    <w:rsid w:val="76DFCE96"/>
    <w:rsid w:val="77AC0657"/>
    <w:rsid w:val="7BB69D35"/>
    <w:rsid w:val="7BF3A2BD"/>
    <w:rsid w:val="7BFD437C"/>
    <w:rsid w:val="7BFFC58A"/>
    <w:rsid w:val="7C3F14EE"/>
    <w:rsid w:val="7C4FFAB8"/>
    <w:rsid w:val="7D5FCEF1"/>
    <w:rsid w:val="7DDF8975"/>
    <w:rsid w:val="7DF37381"/>
    <w:rsid w:val="7DFE2E79"/>
    <w:rsid w:val="7DFFCEBD"/>
    <w:rsid w:val="7DFFF623"/>
    <w:rsid w:val="7E7B88F4"/>
    <w:rsid w:val="7EDFB83D"/>
    <w:rsid w:val="7EE94C88"/>
    <w:rsid w:val="7EFEC508"/>
    <w:rsid w:val="7F2F03D4"/>
    <w:rsid w:val="7F7D1627"/>
    <w:rsid w:val="7FF6D9C9"/>
    <w:rsid w:val="7FFB00AF"/>
    <w:rsid w:val="9F794DA6"/>
    <w:rsid w:val="9FBD565E"/>
    <w:rsid w:val="9FD7900A"/>
    <w:rsid w:val="A57CCF5B"/>
    <w:rsid w:val="A5F73E8D"/>
    <w:rsid w:val="ADBF032D"/>
    <w:rsid w:val="ADFD65A1"/>
    <w:rsid w:val="B23D15FF"/>
    <w:rsid w:val="B7336EE7"/>
    <w:rsid w:val="BFFB5F39"/>
    <w:rsid w:val="D76E13F6"/>
    <w:rsid w:val="D7CF0966"/>
    <w:rsid w:val="DAA6A54B"/>
    <w:rsid w:val="DFFB1B47"/>
    <w:rsid w:val="E2ECE1BA"/>
    <w:rsid w:val="E62F52CF"/>
    <w:rsid w:val="E8F64200"/>
    <w:rsid w:val="ECE553B2"/>
    <w:rsid w:val="ECFB1D71"/>
    <w:rsid w:val="EEFD5FD2"/>
    <w:rsid w:val="EFFAF8E6"/>
    <w:rsid w:val="F1EE835C"/>
    <w:rsid w:val="F39FB6AE"/>
    <w:rsid w:val="F4FB70DE"/>
    <w:rsid w:val="F737DF8E"/>
    <w:rsid w:val="F77DC7C4"/>
    <w:rsid w:val="F7E63664"/>
    <w:rsid w:val="F7FD949C"/>
    <w:rsid w:val="F7FDE68E"/>
    <w:rsid w:val="F9FD4C46"/>
    <w:rsid w:val="FAF15F35"/>
    <w:rsid w:val="FB775A4D"/>
    <w:rsid w:val="FD7437E6"/>
    <w:rsid w:val="FDE7843B"/>
    <w:rsid w:val="FE6513E9"/>
    <w:rsid w:val="FEFB1D8E"/>
    <w:rsid w:val="FEFE35F9"/>
    <w:rsid w:val="FF3BBCBD"/>
    <w:rsid w:val="FF6F1B58"/>
    <w:rsid w:val="FF6F63A0"/>
    <w:rsid w:val="FF9F07FD"/>
    <w:rsid w:val="FFB6148D"/>
    <w:rsid w:val="FFBF0B08"/>
    <w:rsid w:val="FFDB7BD5"/>
    <w:rsid w:val="FFDF74CD"/>
    <w:rsid w:val="FFEDF98E"/>
    <w:rsid w:val="FFF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368</Words>
  <Characters>2102</Characters>
  <Lines>17</Lines>
  <Paragraphs>4</Paragraphs>
  <TotalTime>49</TotalTime>
  <ScaleCrop>false</ScaleCrop>
  <LinksUpToDate>false</LinksUpToDate>
  <CharactersWithSpaces>2466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2025-07-14T16:21:00Z</dcterms:created>
  <dc:creator>Apache POI</dc:creator>
  <cp:lastModifiedBy>ccb</cp:lastModifiedBy>
  <dcterms:modified xsi:type="dcterms:W3CDTF">2026-06-09T10:09:59Z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16E45068709F4BCAB16F4B9A96079928_12</vt:lpwstr>
  </property>
</Properties>
</file>