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442000-2025-04901</w:t>
      </w:r>
    </w:p>
    <w:p>
      <w:pPr>
        <w:pStyle w:val="null3"/>
        <w:jc w:val="center"/>
        <w:outlineLvl w:val="3"/>
      </w:pPr>
      <w:r>
        <w:rPr>
          <w:sz w:val="24"/>
          <w:b/>
        </w:rPr>
        <w:t>采购项目编号：</w:t>
      </w:r>
      <w:r>
        <w:rPr>
          <w:sz w:val="24"/>
          <w:b/>
        </w:rPr>
        <w:t>ZZ22511138</w:t>
      </w:r>
    </w:p>
    <w:p>
      <w:pPr>
        <w:pStyle w:val="null3"/>
        <w:jc w:val="center"/>
        <w:outlineLvl w:val="3"/>
      </w:pPr>
      <w:r>
        <w:rPr>
          <w:sz w:val="24"/>
          <w:b/>
        </w:rPr>
        <w:t>项目名称：</w:t>
      </w:r>
      <w:r>
        <w:rPr>
          <w:sz w:val="24"/>
          <w:b/>
        </w:rPr>
        <w:t>孙中山故里旅游区提升规划设计项目</w:t>
      </w:r>
    </w:p>
    <w:p>
      <w:pPr>
        <w:pStyle w:val="null3"/>
        <w:jc w:val="center"/>
        <w:outlineLvl w:val="3"/>
      </w:pPr>
      <w:r>
        <w:rPr>
          <w:sz w:val="24"/>
          <w:b/>
        </w:rPr>
        <w:t>采购人：</w:t>
      </w:r>
      <w:r>
        <w:rPr>
          <w:sz w:val="24"/>
          <w:b/>
        </w:rPr>
        <w:t>中山市文化广电旅游局</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广东志正招标有限公司中山分公司</w:t>
      </w:r>
      <w:r>
        <w:rPr/>
        <w:t>受</w:t>
      </w:r>
      <w:r>
        <w:rPr/>
        <w:t>中山市文化广电旅游局</w:t>
      </w:r>
      <w:r>
        <w:rPr/>
        <w:t>的委托，采用</w:t>
      </w:r>
      <w:r>
        <w:rPr/>
        <w:t>竞争性磋商</w:t>
      </w:r>
      <w:r>
        <w:rPr/>
        <w:t>方式组织采购</w:t>
      </w:r>
      <w:r>
        <w:rPr/>
        <w:t>孙中山故里旅游区提升规划设计项目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孙中山故里旅游区提升规划设计项目</w:t>
      </w:r>
    </w:p>
    <w:p>
      <w:pPr>
        <w:pStyle w:val="null3"/>
        <w:ind w:firstLine="480"/>
      </w:pPr>
      <w:r>
        <w:rPr/>
        <w:t>采购计划编号：</w:t>
      </w:r>
      <w:r>
        <w:rPr/>
        <w:t>442000-2025-04901</w:t>
      </w:r>
    </w:p>
    <w:p>
      <w:pPr>
        <w:pStyle w:val="null3"/>
        <w:ind w:firstLine="480"/>
      </w:pPr>
      <w:r>
        <w:rPr/>
        <w:t>采购项目编号：</w:t>
      </w:r>
      <w:r>
        <w:rPr/>
        <w:t>ZZ22511138</w:t>
      </w:r>
    </w:p>
    <w:p>
      <w:pPr>
        <w:pStyle w:val="null3"/>
        <w:ind w:firstLine="480"/>
      </w:pPr>
      <w:r>
        <w:rPr/>
        <w:t>采购方式：</w:t>
      </w:r>
      <w:r>
        <w:rPr/>
        <w:t>竞争性磋商</w:t>
      </w:r>
    </w:p>
    <w:p>
      <w:pPr>
        <w:pStyle w:val="null3"/>
        <w:ind w:firstLine="480"/>
      </w:pPr>
      <w:r>
        <w:rPr/>
        <w:t>预算金额：</w:t>
      </w:r>
      <w:r>
        <w:rPr/>
        <w:t>3,234,500.00</w:t>
      </w:r>
      <w:r>
        <w:rPr/>
        <w:t>元</w:t>
      </w:r>
    </w:p>
    <w:p>
      <w:pPr>
        <w:pStyle w:val="null3"/>
        <w:outlineLvl w:val="3"/>
      </w:pPr>
      <w:r>
        <w:rPr>
          <w:sz w:val="24"/>
          <w:b/>
        </w:rPr>
        <w:t>2.项目内容及需求情况（采购项目技术规格、参数及要求）</w:t>
      </w:r>
    </w:p>
    <w:p>
      <w:pPr>
        <w:pStyle w:val="null3"/>
      </w:pPr>
      <w:r>
        <w:rPr/>
        <w:t>采购包1(孙中山故里旅游区片区提升规划设计项目):</w:t>
      </w:r>
    </w:p>
    <w:p>
      <w:pPr>
        <w:pStyle w:val="null3"/>
      </w:pPr>
      <w:r>
        <w:rPr/>
        <w:t>采购包预算金额：3,234,500.00元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区域规划和设计服务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合同履行期限：按磋商文件要求执行。</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政府采购供应商资格信用承诺函》（格式详见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状况报告（或2025年1月至今任意一个月份财务报表）关键页或由基本开户银行出具的资信证明或提供《政府采购供应商资格信用承诺函》（格式详见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w:t>
      </w:r>
    </w:p>
    <w:p>
      <w:pPr>
        <w:pStyle w:val="null3"/>
      </w:pPr>
      <w:r>
        <w:rPr/>
        <w:t>5）参加采购活动前3年内，在经营活动中没有重大违法记录：参照响应承诺函相关承诺格式内容或提供《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采购包1（孙中山故里旅游区片区提升规划设计项目）：</w:t>
      </w:r>
      <w:r>
        <w:rPr/>
        <w:t>本项目不属于专门面向中小企业采购的项目。</w:t>
      </w:r>
    </w:p>
    <w:p>
      <w:pPr>
        <w:pStyle w:val="null3"/>
        <w:outlineLvl w:val="3"/>
      </w:pPr>
      <w:r>
        <w:rPr>
          <w:sz w:val="24"/>
          <w:b/>
        </w:rPr>
        <w:t>3.本项目特定的资格要求：</w:t>
      </w:r>
    </w:p>
    <w:p>
      <w:pPr>
        <w:pStyle w:val="null3"/>
      </w:pPr>
      <w:r>
        <w:rPr/>
        <w:t>采购包1（孙中山故里旅游区片区提升规划设计项目）：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中山市文化广电旅游局</w:t>
      </w:r>
    </w:p>
    <w:p>
      <w:pPr>
        <w:pStyle w:val="null3"/>
        <w:ind w:firstLine="480"/>
      </w:pPr>
      <w:r>
        <w:rPr/>
        <w:t>地址：</w:t>
      </w:r>
      <w:r>
        <w:rPr/>
        <w:t>中山市石岐区悦来南路12号</w:t>
      </w:r>
    </w:p>
    <w:p>
      <w:pPr>
        <w:pStyle w:val="null3"/>
        <w:ind w:firstLine="480"/>
      </w:pPr>
      <w:r>
        <w:rPr/>
        <w:t>联系方式：</w:t>
      </w:r>
      <w:r>
        <w:rPr/>
        <w:t>0760-88663065</w:t>
      </w:r>
    </w:p>
    <w:p>
      <w:pPr>
        <w:pStyle w:val="null3"/>
        <w:outlineLvl w:val="3"/>
      </w:pPr>
      <w:r>
        <w:rPr>
          <w:sz w:val="24"/>
          <w:b/>
        </w:rPr>
        <w:t>2.采购代理机构信息</w:t>
      </w:r>
    </w:p>
    <w:p>
      <w:pPr>
        <w:pStyle w:val="null3"/>
        <w:ind w:firstLine="480"/>
      </w:pPr>
      <w:r>
        <w:rPr/>
        <w:t>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凌小姐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1.</w:t>
      </w:r>
      <w:r>
        <w:rPr>
          <w:sz w:val="20"/>
          <w:b/>
        </w:rPr>
        <w:t>项目概况：</w:t>
      </w:r>
      <w:r>
        <w:rPr>
          <w:sz w:val="20"/>
        </w:rPr>
        <w:t>2026</w:t>
      </w:r>
      <w:r>
        <w:rPr>
          <w:sz w:val="20"/>
        </w:rPr>
        <w:t>年是孙中山先生诞辰</w:t>
      </w:r>
      <w:r>
        <w:rPr>
          <w:sz w:val="20"/>
        </w:rPr>
        <w:t>160</w:t>
      </w:r>
      <w:r>
        <w:rPr>
          <w:sz w:val="20"/>
        </w:rPr>
        <w:t>周年，也是孙中山故里旅游区作为国家</w:t>
      </w:r>
      <w:r>
        <w:rPr>
          <w:sz w:val="20"/>
        </w:rPr>
        <w:t>5A</w:t>
      </w:r>
      <w:r>
        <w:rPr>
          <w:sz w:val="20"/>
        </w:rPr>
        <w:t>级旅游景区复核迎检的关键之年，为加快推进孙中山故里旅游区改造提升，联动周边文旅资源协同发展，助力我市文旅产业高质量发展，进一步提升城市影响力，中山市文化广电旅游局拟开展《孙中山故里旅游区提升规划设计项目》采购工作。</w:t>
      </w:r>
    </w:p>
    <w:p>
      <w:pPr>
        <w:pStyle w:val="null3"/>
        <w:ind w:firstLine="402"/>
      </w:pPr>
      <w:r>
        <w:rPr>
          <w:sz w:val="20"/>
          <w:b/>
        </w:rPr>
        <w:t>2.</w:t>
      </w:r>
      <w:r>
        <w:rPr>
          <w:sz w:val="20"/>
          <w:b/>
        </w:rPr>
        <w:t>服务期限：</w:t>
      </w:r>
      <w:r>
        <w:rPr>
          <w:sz w:val="20"/>
        </w:rPr>
        <w:t>自合同签订之日起</w:t>
      </w:r>
      <w:r>
        <w:rPr>
          <w:sz w:val="20"/>
        </w:rPr>
        <w:t>2</w:t>
      </w:r>
      <w:r>
        <w:rPr>
          <w:sz w:val="20"/>
        </w:rPr>
        <w:t>年</w:t>
      </w:r>
      <w:r>
        <w:rPr>
          <w:sz w:val="20"/>
        </w:rPr>
        <w:t>。</w:t>
      </w:r>
    </w:p>
    <w:p>
      <w:pPr>
        <w:pStyle w:val="null3"/>
        <w:ind w:firstLine="400"/>
      </w:pPr>
      <w:r>
        <w:rPr>
          <w:sz w:val="20"/>
        </w:rPr>
        <w:t>3.</w:t>
      </w:r>
      <w:r>
        <w:rPr>
          <w:sz w:val="20"/>
        </w:rPr>
        <w:t>成交供应商未经采购人批准</w:t>
      </w:r>
      <w:r>
        <w:rPr>
          <w:sz w:val="20"/>
        </w:rPr>
        <w:t>,</w:t>
      </w:r>
      <w:r>
        <w:rPr>
          <w:sz w:val="20"/>
        </w:rPr>
        <w:t>不得以任何方式转包或分包本项目。</w:t>
      </w:r>
    </w:p>
    <w:p>
      <w:pPr>
        <w:pStyle w:val="null3"/>
        <w:ind w:firstLine="400"/>
      </w:pPr>
      <w:r>
        <w:rPr>
          <w:sz w:val="20"/>
        </w:rPr>
        <w:t>4.</w:t>
      </w:r>
      <w:r>
        <w:rPr>
          <w:sz w:val="20"/>
        </w:rPr>
        <w:t>本项目不接受联合体响应。</w:t>
      </w:r>
    </w:p>
    <w:p>
      <w:pPr>
        <w:pStyle w:val="null3"/>
        <w:ind w:firstLine="400"/>
      </w:pPr>
      <w:r>
        <w:rPr>
          <w:sz w:val="20"/>
        </w:rPr>
        <w:t>5.</w:t>
      </w:r>
      <w:r>
        <w:rPr>
          <w:sz w:val="20"/>
        </w:rPr>
        <w:t>在磋商文件中凡有“★”标识的内容条款被视为重要的响应要求、技术指标要求和服务要求。供应商必须对此作出回答</w:t>
      </w:r>
      <w:r>
        <w:rPr>
          <w:sz w:val="20"/>
        </w:rPr>
        <w:t>,</w:t>
      </w:r>
      <w:r>
        <w:rPr>
          <w:sz w:val="20"/>
        </w:rPr>
        <w:t>并完全满足这些要求不可以出现任何负偏离，如果出现负偏离则将被视为无效报价。</w:t>
      </w:r>
    </w:p>
    <w:p>
      <w:pPr>
        <w:pStyle w:val="null3"/>
      </w:pPr>
      <w:r>
        <w:rPr/>
        <w:t>采购包1（孙中山故里旅游区片区提升规划设计项目）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自合同签订之日起2年，分三个阶段： 第一阶段：完成《孙中山故里旅游区提升规划设计项目》初步成果（2个月）。 第二阶段：完成《孙中山故里旅游区提升规划设计项目》最终成果（4个月）。 第三阶段：推进落地相关顾问服务（1年6个月）。 因其他不可抗拒因素造成时间推迟，可相应向后顺延。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1期：支付比例30%,自双方签订合同之日起15个工作日内，成交供应商提交项目工作大纲及付款申请，采购人按照市财政局安排该项目年度资金开展支付工作，支付成交供应商合同总价款的30%；</w:t>
            </w:r>
          </w:p>
          <w:p>
            <w:pPr>
              <w:pStyle w:val="null3"/>
            </w:pPr>
            <w:r>
              <w:rPr/>
              <w:t>2期：支付比例40%,成交供应商提交项目成果并通过市规委会审议后或专家评审（相关费用由成交供应商承担），采购人按照市财政局安排该项目年度资金开展支付工作，支付成交供应商合同总价款的40%；</w:t>
            </w:r>
          </w:p>
          <w:p>
            <w:pPr>
              <w:pStyle w:val="null3"/>
            </w:pPr>
            <w:r>
              <w:rPr/>
              <w:t>3期：支付比例30%,成交供应商提交项目成果经市委或市政府或市“百千万工程”指挥部审议通过，采购人按照市财政局安排该项目年度资金开展支付工作，支付成交供应商合同总价款的30%。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成交供应商完成技术服务工作的形式：依据采购人要求，完成项目的文本、研究报告、图纸等。（2）技术服务工作成果的验收标准：按照《中华人民共和国城乡规划法》、《旅游景区质量等级划分》（GB/T 17775-2024）等现行的国家、省市有关规划和相关行业标准、技术规范的技术要求，如有最新标准则按最新标准。（3）技术服务工作成果的验收方法：由采购人组织审查验收，需通过市规委会审议或专家评审（相关费用由成交供应商承担），最后经市委或市政府或市“百千万工程”指挥部审议通过。（4）验收的时间和地点：由采购人确定。验收时如发现服务内容不符合合同约定、项目需求、采购人要求或法律规定之情形，采购人有权要求成交供应商限期整改，相关费用由成交供应商承担。如成交供应商拒绝整改、整改后仍不合格或限期内无法完成整改的，采购人有权要求成交供应商承担相应的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关于支付的其他要求，（1）双方可委托银行代付代收有关费用。（2）成交供应商在开具等额正式发票给采购人后，委托方将款项支付给成交供应商。（3）本项目费用实行总包干，包括现场勘察费、调研费、资料费、设计费、方案修改费、公示费、评审费、差旅费、公布费、打印费及税费等完成本项目在内的所有费用。（4）成交供应商按照合同编制完成各阶段成果，提交纸质和相应电子数据成果，并协助采购人完成成果的汇报、上报、和审查等工作。（5）因采购人使用的是财政资金，若财政拨款到位且满足请款条件的前提下，采购人在规定的付款时间向财政部门提出办理财政支付申请手续（不含财政部门审核的时间），即视为采购人已经履行按期支付。若财政拨款未能按时到位，支付时间及额度以财政资金到位为准。成交供应商不能因费用拨款滞后而影响正常工作开展和服务质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区域规划和设计服务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3,234,500.00</w:t>
            </w:r>
          </w:p>
        </w:tc>
        <w:tc>
          <w:tcPr>
            <w:tcW w:type="dxa" w:w="933"/>
          </w:tcPr>
          <w:p>
            <w:pPr>
              <w:pStyle w:val="null3"/>
              <w:jc w:val="right"/>
            </w:pPr>
            <w:r>
              <w:rPr/>
              <w:t>3,234,500.00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区域规划和设计服务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一、项目内容及范围</w:t>
            </w:r>
          </w:p>
          <w:p>
            <w:pPr>
              <w:pStyle w:val="null3"/>
              <w:ind w:firstLine="400"/>
            </w:pPr>
            <w:r>
              <w:rPr>
                <w:sz w:val="20"/>
              </w:rPr>
              <w:t>《孙中山故里旅游区提升规划设计项目》聚焦国家</w:t>
            </w:r>
            <w:r>
              <w:rPr>
                <w:sz w:val="20"/>
              </w:rPr>
              <w:t>5A</w:t>
            </w:r>
            <w:r>
              <w:rPr>
                <w:sz w:val="20"/>
              </w:rPr>
              <w:t>级旅游景区复评要求和高质量发展目标，对孙中山故里旅游区、翠亨村历史风貌区、重要街道和交通集散点、兰溪河滨水空间和犁头尖山等区域，重点开展景区风貌形态和公共空间的整体组织、详细设计。《孙中山故里旅游区提升规划设计项目》围绕</w:t>
            </w:r>
            <w:r>
              <w:rPr>
                <w:sz w:val="20"/>
              </w:rPr>
              <w:t>5A</w:t>
            </w:r>
            <w:r>
              <w:rPr>
                <w:sz w:val="20"/>
              </w:rPr>
              <w:t>级旅游景区高质量发展愿景，总规划面积约</w:t>
            </w:r>
            <w:r>
              <w:rPr>
                <w:sz w:val="20"/>
              </w:rPr>
              <w:t>462.08</w:t>
            </w:r>
            <w:r>
              <w:rPr>
                <w:sz w:val="20"/>
              </w:rPr>
              <w:t>公顷。</w:t>
            </w:r>
          </w:p>
          <w:p>
            <w:pPr>
              <w:pStyle w:val="null3"/>
              <w:ind w:firstLine="400"/>
            </w:pPr>
            <w:r>
              <w:rPr>
                <w:sz w:val="20"/>
              </w:rPr>
              <w:t>规划范围在</w:t>
            </w:r>
            <w:r>
              <w:rPr>
                <w:sz w:val="20"/>
              </w:rPr>
              <w:t>5A</w:t>
            </w:r>
            <w:r>
              <w:rPr>
                <w:sz w:val="20"/>
              </w:rPr>
              <w:t>级旅游景区</w:t>
            </w:r>
            <w:r>
              <w:rPr>
                <w:sz w:val="20"/>
              </w:rPr>
              <w:t>315</w:t>
            </w:r>
            <w:r>
              <w:rPr>
                <w:sz w:val="20"/>
              </w:rPr>
              <w:t>公顷面积的基础上，增加</w:t>
            </w:r>
            <w:r>
              <w:rPr>
                <w:sz w:val="20"/>
              </w:rPr>
              <w:t>147.08</w:t>
            </w:r>
            <w:r>
              <w:rPr>
                <w:sz w:val="20"/>
              </w:rPr>
              <w:t>公顷。具体包括：广澳高速翠亨收费站入口南侧南至松林山东侧辅道，面积约</w:t>
            </w:r>
            <w:r>
              <w:rPr>
                <w:sz w:val="20"/>
              </w:rPr>
              <w:t>29</w:t>
            </w:r>
            <w:r>
              <w:rPr>
                <w:sz w:val="20"/>
              </w:rPr>
              <w:t>公顷；翠亨大道从广澳高速翠亨收费站出口至南朗街道革命烈士陵园两侧全长</w:t>
            </w:r>
            <w:r>
              <w:rPr>
                <w:sz w:val="20"/>
              </w:rPr>
              <w:t>4</w:t>
            </w:r>
            <w:r>
              <w:rPr>
                <w:sz w:val="20"/>
              </w:rPr>
              <w:t>公里，包括道路设施、人行道、两侧绿化、建筑等风貌控制，面积约</w:t>
            </w:r>
            <w:r>
              <w:rPr>
                <w:sz w:val="20"/>
              </w:rPr>
              <w:t>43.08</w:t>
            </w:r>
            <w:r>
              <w:rPr>
                <w:sz w:val="20"/>
              </w:rPr>
              <w:t>公顷；兰溪河从纪念中学西侧村道至广澳高速涵洞处全长</w:t>
            </w:r>
            <w:r>
              <w:rPr>
                <w:sz w:val="20"/>
              </w:rPr>
              <w:t>3</w:t>
            </w:r>
            <w:r>
              <w:rPr>
                <w:sz w:val="20"/>
              </w:rPr>
              <w:t>公里，包括河道、两侧绿化、现状道路等，面积约</w:t>
            </w:r>
            <w:r>
              <w:rPr>
                <w:sz w:val="20"/>
              </w:rPr>
              <w:t>21</w:t>
            </w:r>
            <w:r>
              <w:rPr>
                <w:sz w:val="20"/>
              </w:rPr>
              <w:t>公顷；翠亨宾馆现状建筑、外部停车场、外环境等，面积约</w:t>
            </w:r>
            <w:r>
              <w:rPr>
                <w:sz w:val="20"/>
              </w:rPr>
              <w:t>21</w:t>
            </w:r>
            <w:r>
              <w:rPr>
                <w:sz w:val="20"/>
              </w:rPr>
              <w:t>公顷；金槟榔山南侧以翠亨大道为界限，北至竹溪大街，东与雅居乐山海郡相临，面积约为</w:t>
            </w:r>
            <w:r>
              <w:rPr>
                <w:sz w:val="20"/>
              </w:rPr>
              <w:t>33</w:t>
            </w:r>
            <w:r>
              <w:rPr>
                <w:sz w:val="20"/>
              </w:rPr>
              <w:t>公顷。具体规划内容包括：</w:t>
            </w:r>
          </w:p>
          <w:p>
            <w:pPr>
              <w:pStyle w:val="null3"/>
            </w:pPr>
            <w:r>
              <w:rPr>
                <w:sz w:val="20"/>
                <w:b/>
              </w:rPr>
              <w:t>（一）孙中山故里旅游区总体规划</w:t>
            </w:r>
          </w:p>
          <w:p>
            <w:pPr>
              <w:pStyle w:val="null3"/>
              <w:ind w:firstLine="400"/>
            </w:pPr>
            <w:r>
              <w:rPr>
                <w:sz w:val="20"/>
              </w:rPr>
              <w:t>在尊重现状建设条件、遵从现有权属信息的基础上，优化旅游区规划结构、用地布局、功能板块等，明确景区的游览区、服务区与旅游集散枢纽等功能分区，对接现有控规成果，确定景观主题和景观风貌控制要素。</w:t>
            </w:r>
          </w:p>
          <w:p>
            <w:pPr>
              <w:pStyle w:val="null3"/>
              <w:ind w:firstLine="400"/>
            </w:pPr>
            <w:r>
              <w:rPr>
                <w:sz w:val="20"/>
              </w:rPr>
              <w:t>1.</w:t>
            </w:r>
            <w:r>
              <w:rPr>
                <w:sz w:val="20"/>
              </w:rPr>
              <w:t>工作背景与范围。</w:t>
            </w:r>
            <w:r>
              <w:rPr>
                <w:sz w:val="20"/>
              </w:rPr>
              <w:t>对照</w:t>
            </w:r>
            <w:r>
              <w:rPr>
                <w:sz w:val="20"/>
              </w:rPr>
              <w:t>《旅游景区质量等级划分》（</w:t>
            </w:r>
            <w:r>
              <w:rPr>
                <w:sz w:val="20"/>
              </w:rPr>
              <w:t>GB/T 17775-2024</w:t>
            </w:r>
            <w:r>
              <w:rPr>
                <w:sz w:val="20"/>
              </w:rPr>
              <w:t>）</w:t>
            </w:r>
            <w:r>
              <w:rPr>
                <w:sz w:val="20"/>
              </w:rPr>
              <w:t>标准，</w:t>
            </w:r>
            <w:r>
              <w:rPr>
                <w:sz w:val="20"/>
              </w:rPr>
              <w:t>梳理国家</w:t>
            </w:r>
            <w:r>
              <w:rPr>
                <w:sz w:val="20"/>
              </w:rPr>
              <w:t>5A</w:t>
            </w:r>
            <w:r>
              <w:rPr>
                <w:sz w:val="20"/>
              </w:rPr>
              <w:t>旅游景区复评要求和名人故</w:t>
            </w:r>
            <w:r>
              <w:rPr>
                <w:sz w:val="20"/>
              </w:rPr>
              <w:t>里</w:t>
            </w:r>
            <w:r>
              <w:rPr>
                <w:sz w:val="20"/>
              </w:rPr>
              <w:t>旅游区发展趋势，明确工作重点、政策导向和发展趋势。根据片区实际情况确定规划范围，加强与中山市国土空间总体规划及其他相关专项规划等上位规划与相关规划的衔接，落实包括历史文化要素管控、生态要素管控、河岸退线等相关管控要求。</w:t>
            </w:r>
          </w:p>
          <w:p>
            <w:pPr>
              <w:pStyle w:val="null3"/>
              <w:ind w:firstLine="400"/>
            </w:pPr>
            <w:r>
              <w:rPr>
                <w:sz w:val="20"/>
              </w:rPr>
              <w:t>2.</w:t>
            </w:r>
            <w:r>
              <w:rPr>
                <w:sz w:val="20"/>
              </w:rPr>
              <w:t>现状与问题研判。调研孙中山故里旅游区及周边区域土地资源分布、旅游发展状况、现状交通状况、生态景观环境和建筑风貌，对照国家</w:t>
            </w:r>
            <w:r>
              <w:rPr>
                <w:sz w:val="20"/>
              </w:rPr>
              <w:t>5A</w:t>
            </w:r>
            <w:r>
              <w:rPr>
                <w:sz w:val="20"/>
              </w:rPr>
              <w:t>旅游景区复评标准，评估现状失分项，明确影响高质量发展的关键因素与发展挑战。</w:t>
            </w:r>
          </w:p>
          <w:p>
            <w:pPr>
              <w:pStyle w:val="null3"/>
              <w:ind w:firstLine="400"/>
            </w:pPr>
            <w:r>
              <w:rPr>
                <w:sz w:val="20"/>
              </w:rPr>
              <w:t>3.</w:t>
            </w:r>
            <w:r>
              <w:rPr>
                <w:sz w:val="20"/>
              </w:rPr>
              <w:t>目标定位与发展愿景。对标同类名人故</w:t>
            </w:r>
            <w:r>
              <w:rPr>
                <w:sz w:val="20"/>
              </w:rPr>
              <w:t>里</w:t>
            </w:r>
            <w:r>
              <w:rPr>
                <w:sz w:val="20"/>
              </w:rPr>
              <w:t>开发利用经验，结合当前文化旅游发展趋势，分析不同客群消费需求。基于孙中山故里旅游区及其周边发展基础与国家</w:t>
            </w:r>
            <w:r>
              <w:rPr>
                <w:sz w:val="20"/>
              </w:rPr>
              <w:t>5A</w:t>
            </w:r>
            <w:r>
              <w:rPr>
                <w:sz w:val="20"/>
              </w:rPr>
              <w:t>旅游景区复评要求，从历史文化价值、城市山水形态、区域交通组织等角度，提出孙中山故里旅游区改造提升的总体定位、分期目标与发展愿景。从问题导向和目标导向两个维度出发，针对旅游交通、业态发展、景观风貌等方面的现实问题，提出未来改造提升对策。</w:t>
            </w:r>
          </w:p>
          <w:p>
            <w:pPr>
              <w:pStyle w:val="null3"/>
              <w:ind w:firstLine="400"/>
            </w:pPr>
            <w:r>
              <w:rPr>
                <w:sz w:val="20"/>
              </w:rPr>
              <w:t>4.</w:t>
            </w:r>
            <w:r>
              <w:rPr>
                <w:sz w:val="20"/>
              </w:rPr>
              <w:t>重点专项规划。围绕交通组织、旅游业态、景观风貌等议题，开展基础设施与服务配套提升、旅游业态提升与产品创新、服务质量与环境质量管理、智慧旅游与数字化管理、景观风貌规划、</w:t>
            </w:r>
            <w:r>
              <w:rPr>
                <w:sz w:val="20"/>
              </w:rPr>
              <w:t>文化旅游资源保护与开发，</w:t>
            </w:r>
            <w:r>
              <w:rPr>
                <w:sz w:val="20"/>
              </w:rPr>
              <w:t>重点项目策划与分期改造计划、实施保障与政策支持等专项规划。</w:t>
            </w:r>
          </w:p>
          <w:p>
            <w:pPr>
              <w:pStyle w:val="null3"/>
              <w:ind w:firstLine="400"/>
            </w:pPr>
            <w:r>
              <w:rPr>
                <w:sz w:val="20"/>
              </w:rPr>
              <w:t>5.</w:t>
            </w:r>
            <w:r>
              <w:rPr>
                <w:sz w:val="20"/>
              </w:rPr>
              <w:t>组织保障。构建规划实施的支撑体系，包括领导与协调机制、资源与政策保障、投资估算与资金筹措、分期实施计划与动态评估调整机制，推动规划落地。</w:t>
            </w:r>
          </w:p>
          <w:p>
            <w:pPr>
              <w:pStyle w:val="null3"/>
            </w:pPr>
            <w:r>
              <w:rPr>
                <w:sz w:val="20"/>
                <w:b/>
              </w:rPr>
              <w:t>（二）重点片区详细设计</w:t>
            </w:r>
          </w:p>
          <w:p>
            <w:pPr>
              <w:pStyle w:val="null3"/>
              <w:ind w:firstLine="400"/>
            </w:pPr>
            <w:r>
              <w:rPr>
                <w:sz w:val="20"/>
              </w:rPr>
              <w:t>在孙中山故里旅游区总体规划基础上，开展孙中山故里旅游区及周边区域片区（包括孙中山故里旅游区及周边乡村、翠亨宾馆、犁头尖山体、兰溪河南部山体等）、兰溪河沿线片区（主要为石门村</w:t>
            </w:r>
            <w:r>
              <w:rPr>
                <w:sz w:val="20"/>
              </w:rPr>
              <w:t>-</w:t>
            </w:r>
            <w:r>
              <w:rPr>
                <w:sz w:val="20"/>
              </w:rPr>
              <w:t>孙中山故里旅游区段）详细设计。</w:t>
            </w:r>
          </w:p>
        </w:tc>
      </w:tr>
      <w:tr>
        <w:tc>
          <w:tcPr>
            <w:tcW w:type="dxa" w:w="2076"/>
          </w:tcPr>
          <w:p/>
        </w:tc>
        <w:tc>
          <w:tcPr>
            <w:tcW w:type="dxa" w:w="415"/>
          </w:tcPr>
          <w:p>
            <w:pPr>
              <w:pStyle w:val="null3"/>
            </w:pPr>
            <w:r>
              <w:rPr/>
              <w:t>2</w:t>
            </w:r>
          </w:p>
        </w:tc>
        <w:tc>
          <w:tcPr>
            <w:tcW w:type="dxa" w:w="5814"/>
          </w:tcPr>
          <w:p>
            <w:pPr>
              <w:pStyle w:val="null3"/>
            </w:pPr>
            <w:r>
              <w:rPr>
                <w:sz w:val="20"/>
                <w:b/>
              </w:rPr>
              <w:t>二</w:t>
            </w:r>
            <w:r>
              <w:rPr>
                <w:sz w:val="20"/>
                <w:b/>
              </w:rPr>
              <w:t>、工作深度要求</w:t>
            </w:r>
          </w:p>
          <w:p>
            <w:pPr>
              <w:pStyle w:val="null3"/>
              <w:ind w:firstLine="400"/>
            </w:pPr>
            <w:r>
              <w:rPr>
                <w:sz w:val="20"/>
              </w:rPr>
              <w:t>满足规划及评估咨询的各项工作内容，达到向相关政府部门审批的标准要求。</w:t>
            </w:r>
          </w:p>
        </w:tc>
      </w:tr>
      <w:tr>
        <w:tc>
          <w:tcPr>
            <w:tcW w:type="dxa" w:w="2076"/>
          </w:tcPr>
          <w:p/>
        </w:tc>
        <w:tc>
          <w:tcPr>
            <w:tcW w:type="dxa" w:w="415"/>
          </w:tcPr>
          <w:p>
            <w:pPr>
              <w:pStyle w:val="null3"/>
            </w:pPr>
            <w:r>
              <w:rPr/>
              <w:t>3</w:t>
            </w:r>
          </w:p>
        </w:tc>
        <w:tc>
          <w:tcPr>
            <w:tcW w:type="dxa" w:w="5814"/>
          </w:tcPr>
          <w:p>
            <w:pPr>
              <w:pStyle w:val="null3"/>
            </w:pPr>
            <w:r>
              <w:rPr>
                <w:sz w:val="20"/>
                <w:b/>
              </w:rPr>
              <w:t>三</w:t>
            </w:r>
            <w:r>
              <w:rPr>
                <w:sz w:val="20"/>
                <w:b/>
              </w:rPr>
              <w:t>、</w:t>
            </w:r>
            <w:r>
              <w:rPr>
                <w:sz w:val="20"/>
                <w:b/>
              </w:rPr>
              <w:t>项目</w:t>
            </w:r>
            <w:r>
              <w:rPr>
                <w:sz w:val="20"/>
                <w:b/>
              </w:rPr>
              <w:t>人员要求</w:t>
            </w:r>
          </w:p>
          <w:p>
            <w:pPr>
              <w:pStyle w:val="null3"/>
              <w:ind w:firstLine="400"/>
            </w:pPr>
            <w:r>
              <w:rPr>
                <w:sz w:val="20"/>
              </w:rPr>
              <w:t>（</w:t>
            </w:r>
            <w:r>
              <w:rPr>
                <w:sz w:val="20"/>
              </w:rPr>
              <w:t>1</w:t>
            </w:r>
            <w:r>
              <w:rPr>
                <w:sz w:val="20"/>
              </w:rPr>
              <w:t>）供应商在本项目需投入：项目负责人具备</w:t>
            </w:r>
            <w:r>
              <w:rPr>
                <w:sz w:val="20"/>
              </w:rPr>
              <w:t>城市（城乡）规划或风景园林教授级高工（含）以上职称，或者具备注册城乡（城市）规划师</w:t>
            </w:r>
            <w:r>
              <w:rPr>
                <w:sz w:val="20"/>
              </w:rPr>
              <w:t>。此外，项目负责人需具有自</w:t>
            </w:r>
            <w:r>
              <w:rPr>
                <w:sz w:val="20"/>
              </w:rPr>
              <w:t>2020</w:t>
            </w:r>
            <w:r>
              <w:rPr>
                <w:sz w:val="20"/>
              </w:rPr>
              <w:t>年</w:t>
            </w:r>
            <w:r>
              <w:rPr>
                <w:sz w:val="20"/>
              </w:rPr>
              <w:t>1</w:t>
            </w:r>
            <w:r>
              <w:rPr>
                <w:sz w:val="20"/>
              </w:rPr>
              <w:t>月</w:t>
            </w:r>
            <w:r>
              <w:rPr>
                <w:sz w:val="20"/>
              </w:rPr>
              <w:t>1</w:t>
            </w:r>
            <w:r>
              <w:rPr>
                <w:sz w:val="20"/>
              </w:rPr>
              <w:t>日以来主持过总体规划</w:t>
            </w:r>
            <w:r>
              <w:rPr>
                <w:sz w:val="20"/>
              </w:rPr>
              <w:t>或旅游</w:t>
            </w:r>
            <w:r>
              <w:rPr>
                <w:sz w:val="20"/>
              </w:rPr>
              <w:t>专项规划项目（或研究课题）的经验。</w:t>
            </w:r>
          </w:p>
          <w:p>
            <w:pPr>
              <w:pStyle w:val="null3"/>
              <w:ind w:firstLine="400"/>
            </w:pPr>
            <w:r>
              <w:rPr>
                <w:sz w:val="20"/>
              </w:rPr>
              <w:t>（</w:t>
            </w:r>
            <w:r>
              <w:rPr>
                <w:sz w:val="20"/>
              </w:rPr>
              <w:t>2</w:t>
            </w:r>
            <w:r>
              <w:rPr>
                <w:sz w:val="20"/>
              </w:rPr>
              <w:t>）负责本项目的服务团队（除项目负责人）包含：</w:t>
            </w:r>
            <w:r>
              <w:rPr>
                <w:sz w:val="20"/>
              </w:rPr>
              <w:t>风景园林、建筑设计、道路交通工程、市政工程、国土、人文地理</w:t>
            </w:r>
            <w:r>
              <w:rPr>
                <w:sz w:val="20"/>
              </w:rPr>
              <w:t>类专业高级或以上技术职称或注册执业资格，构成</w:t>
            </w:r>
            <w:r>
              <w:rPr>
                <w:sz w:val="20"/>
              </w:rPr>
              <w:t>12</w:t>
            </w:r>
            <w:r>
              <w:rPr>
                <w:sz w:val="20"/>
              </w:rPr>
              <w:t>人或以上的服务团队，团队服务人员经验丰富、专业配套、并对项目实施的全过程进行跟踪服务；</w:t>
            </w:r>
          </w:p>
          <w:p>
            <w:pPr>
              <w:pStyle w:val="null3"/>
              <w:ind w:firstLine="400"/>
            </w:pPr>
            <w:r>
              <w:rPr>
                <w:sz w:val="20"/>
              </w:rPr>
              <w:t>（</w:t>
            </w:r>
            <w:r>
              <w:rPr>
                <w:sz w:val="20"/>
              </w:rPr>
              <w:t>3</w:t>
            </w:r>
            <w:r>
              <w:rPr>
                <w:sz w:val="20"/>
              </w:rPr>
              <w:t>）项目人员熟悉和掌握国家和地方现行相关法律、法规、政策以及相关标准、规范。</w:t>
            </w:r>
          </w:p>
          <w:p>
            <w:pPr>
              <w:pStyle w:val="null3"/>
            </w:pPr>
            <w:r>
              <w:rPr>
                <w:sz w:val="20"/>
              </w:rPr>
              <w:t>注：</w:t>
            </w:r>
            <w:r>
              <w:rPr>
                <w:sz w:val="20"/>
              </w:rPr>
              <w:t>响应</w:t>
            </w:r>
            <w:r>
              <w:rPr>
                <w:sz w:val="20"/>
              </w:rPr>
              <w:t>文件中提供相关证书复印件作为佐证材料。</w:t>
            </w:r>
          </w:p>
        </w:tc>
      </w:tr>
      <w:tr>
        <w:tc>
          <w:tcPr>
            <w:tcW w:type="dxa" w:w="2076"/>
          </w:tcPr>
          <w:p/>
        </w:tc>
        <w:tc>
          <w:tcPr>
            <w:tcW w:type="dxa" w:w="415"/>
          </w:tcPr>
          <w:p>
            <w:pPr>
              <w:pStyle w:val="null3"/>
            </w:pPr>
            <w:r>
              <w:rPr/>
              <w:t>4</w:t>
            </w:r>
          </w:p>
        </w:tc>
        <w:tc>
          <w:tcPr>
            <w:tcW w:type="dxa" w:w="5814"/>
          </w:tcPr>
          <w:p>
            <w:pPr>
              <w:pStyle w:val="null3"/>
            </w:pPr>
            <w:r>
              <w:rPr>
                <w:sz w:val="20"/>
                <w:b/>
              </w:rPr>
              <w:t>四</w:t>
            </w:r>
            <w:r>
              <w:rPr>
                <w:sz w:val="20"/>
                <w:b/>
              </w:rPr>
              <w:t>、</w:t>
            </w:r>
            <w:r>
              <w:rPr>
                <w:sz w:val="20"/>
                <w:b/>
              </w:rPr>
              <w:t>成果</w:t>
            </w:r>
            <w:r>
              <w:rPr>
                <w:sz w:val="20"/>
                <w:b/>
              </w:rPr>
              <w:t>要求</w:t>
            </w:r>
          </w:p>
          <w:p>
            <w:pPr>
              <w:pStyle w:val="null3"/>
              <w:ind w:firstLine="400"/>
            </w:pPr>
            <w:r>
              <w:rPr>
                <w:sz w:val="20"/>
              </w:rPr>
              <w:t>（一）成交供应商向采购人提交一式四套的成果资料，成果应由文本、图集共同构成，包括纸质成果与电子成果两种形式，所有内容应符合前述规定的目标、原则与技术要求。</w:t>
            </w:r>
          </w:p>
          <w:p>
            <w:pPr>
              <w:pStyle w:val="null3"/>
              <w:ind w:firstLine="400"/>
            </w:pPr>
            <w:r>
              <w:rPr>
                <w:sz w:val="20"/>
              </w:rPr>
              <w:t>（二）成果文件有下列情况之一者无效：提交的设计成果不符合采购需求规定的成果内容和格式；未经组织单位同意而逾期送达；图纸和文字辨认不清、内容不全、粗制滥造或无填充完整的设计单位图签，未盖有承接单位成果专用章。</w:t>
            </w:r>
          </w:p>
          <w:p>
            <w:pPr>
              <w:pStyle w:val="null3"/>
              <w:ind w:firstLine="400"/>
            </w:pPr>
            <w:r>
              <w:rPr>
                <w:sz w:val="20"/>
              </w:rPr>
              <w:t>（</w:t>
            </w:r>
            <w:r>
              <w:rPr>
                <w:sz w:val="20"/>
              </w:rPr>
              <w:t>三</w:t>
            </w:r>
            <w:r>
              <w:rPr>
                <w:sz w:val="20"/>
              </w:rPr>
              <w:t>）成果内容包括一个《孙中山故里旅游区总体规划》文本，一个《重点片区详细设计》文本，一套图集（含重大项目布局图）</w:t>
            </w:r>
            <w:r>
              <w:rPr>
                <w:sz w:val="20"/>
              </w:rPr>
              <w:t>等</w:t>
            </w:r>
            <w:r>
              <w:rPr>
                <w:sz w:val="20"/>
              </w:rPr>
              <w:t>。</w:t>
            </w:r>
          </w:p>
          <w:p>
            <w:pPr>
              <w:pStyle w:val="null3"/>
              <w:ind w:firstLine="402"/>
            </w:pPr>
            <w:r>
              <w:rPr>
                <w:sz w:val="20"/>
                <w:b/>
              </w:rPr>
              <w:t>图集主要包括：</w:t>
            </w:r>
          </w:p>
          <w:p>
            <w:pPr>
              <w:pStyle w:val="null3"/>
              <w:ind w:firstLine="402"/>
            </w:pPr>
            <w:r>
              <w:rPr>
                <w:sz w:val="20"/>
                <w:b/>
              </w:rPr>
              <w:t>现状分析图：</w:t>
            </w:r>
            <w:r>
              <w:rPr>
                <w:sz w:val="20"/>
              </w:rPr>
              <w:t>规划范围图、上位规划图、用地现状图、交通现状图、建筑风貌现状图、景观资源评价图。</w:t>
            </w:r>
          </w:p>
          <w:p>
            <w:pPr>
              <w:pStyle w:val="null3"/>
              <w:ind w:firstLine="402"/>
            </w:pPr>
            <w:r>
              <w:rPr>
                <w:sz w:val="20"/>
                <w:b/>
              </w:rPr>
              <w:t>规划图：</w:t>
            </w:r>
            <w:r>
              <w:rPr>
                <w:sz w:val="20"/>
              </w:rPr>
              <w:t>总平面布局图、规划结构图、土地使用规划调整图、景观系统规划图、绿地系统规划图、旅游系统配套设施规划图、旅游流线及景点布局规划图、道路网系统规划图等。</w:t>
            </w:r>
          </w:p>
          <w:p>
            <w:pPr>
              <w:pStyle w:val="null3"/>
              <w:ind w:firstLine="400"/>
            </w:pPr>
            <w:r>
              <w:rPr>
                <w:sz w:val="20"/>
              </w:rPr>
              <w:t>（四）</w:t>
            </w:r>
            <w:r>
              <w:rPr>
                <w:sz w:val="20"/>
              </w:rPr>
              <w:t>纸质成果</w:t>
            </w:r>
          </w:p>
          <w:p>
            <w:pPr>
              <w:pStyle w:val="null3"/>
              <w:ind w:firstLine="400"/>
            </w:pPr>
            <w:r>
              <w:rPr>
                <w:sz w:val="20"/>
              </w:rPr>
              <w:t>【阶段性成果要求】①规划成果必须做到清晰、完整、表达准确，符合各阶段成果要求；②打印装订规格为</w:t>
            </w:r>
            <w:r>
              <w:rPr>
                <w:sz w:val="20"/>
              </w:rPr>
              <w:t>A4</w:t>
            </w:r>
            <w:r>
              <w:rPr>
                <w:sz w:val="20"/>
              </w:rPr>
              <w:t>（展板除外）；③每次提交的阶段性成果请打印规格统一，便于归档保存；同类图纸规格应尽量统一；④打印数量以满足审查要求为准。</w:t>
            </w:r>
          </w:p>
          <w:p>
            <w:pPr>
              <w:pStyle w:val="null3"/>
              <w:ind w:firstLine="400"/>
            </w:pPr>
            <w:r>
              <w:rPr>
                <w:sz w:val="20"/>
              </w:rPr>
              <w:t>【最终成果要求】必须满足上述阶段性成果要求，另外最终成果需在文本文件上标注组织单位名称和主要协调人员名称，成交供应商名称及法人代表、项目负责人和设计人员名单，并加盖成交供应商成果专用章。</w:t>
            </w:r>
          </w:p>
          <w:p>
            <w:pPr>
              <w:pStyle w:val="null3"/>
              <w:ind w:firstLine="400"/>
            </w:pPr>
            <w:r>
              <w:rPr>
                <w:sz w:val="20"/>
              </w:rPr>
              <w:t>（五）</w:t>
            </w:r>
            <w:r>
              <w:rPr>
                <w:sz w:val="20"/>
              </w:rPr>
              <w:t>电子成果</w:t>
            </w:r>
          </w:p>
          <w:p>
            <w:pPr>
              <w:pStyle w:val="null3"/>
              <w:ind w:firstLine="400"/>
            </w:pPr>
            <w:r>
              <w:rPr>
                <w:sz w:val="20"/>
              </w:rPr>
              <w:t>最终成果必须刻录光盘或</w:t>
            </w:r>
            <w:r>
              <w:rPr>
                <w:sz w:val="20"/>
              </w:rPr>
              <w:t>U</w:t>
            </w:r>
            <w:r>
              <w:rPr>
                <w:sz w:val="20"/>
              </w:rPr>
              <w:t>盘形式提交。电子成果包括：①与上述纸质成果对应的历次阶段性成果和最终成果（含入库成果），文本文件采用</w:t>
            </w:r>
            <w:r>
              <w:rPr>
                <w:sz w:val="20"/>
              </w:rPr>
              <w:t>pdf</w:t>
            </w:r>
            <w:r>
              <w:rPr>
                <w:sz w:val="20"/>
              </w:rPr>
              <w:t>格式及</w:t>
            </w:r>
            <w:r>
              <w:rPr>
                <w:sz w:val="20"/>
              </w:rPr>
              <w:t>doc</w:t>
            </w:r>
            <w:r>
              <w:rPr>
                <w:sz w:val="20"/>
              </w:rPr>
              <w:t>、</w:t>
            </w:r>
            <w:r>
              <w:rPr>
                <w:sz w:val="20"/>
              </w:rPr>
              <w:t>ppt</w:t>
            </w:r>
            <w:r>
              <w:rPr>
                <w:sz w:val="20"/>
              </w:rPr>
              <w:t>等可编辑格式，图形文件采用</w:t>
            </w:r>
            <w:r>
              <w:rPr>
                <w:sz w:val="20"/>
              </w:rPr>
              <w:t>jpg</w:t>
            </w:r>
            <w:r>
              <w:rPr>
                <w:sz w:val="20"/>
              </w:rPr>
              <w:t>格式及</w:t>
            </w:r>
            <w:r>
              <w:rPr>
                <w:sz w:val="20"/>
              </w:rPr>
              <w:t>gdb</w:t>
            </w:r>
            <w:r>
              <w:rPr>
                <w:sz w:val="20"/>
              </w:rPr>
              <w:t>、</w:t>
            </w:r>
            <w:r>
              <w:rPr>
                <w:sz w:val="20"/>
              </w:rPr>
              <w:t>dwg</w:t>
            </w:r>
            <w:r>
              <w:rPr>
                <w:sz w:val="20"/>
              </w:rPr>
              <w:t>等可编辑格式；②入库成果。</w:t>
            </w:r>
          </w:p>
        </w:tc>
      </w:tr>
      <w:tr>
        <w:tc>
          <w:tcPr>
            <w:tcW w:type="dxa" w:w="2076"/>
          </w:tcPr>
          <w:p/>
        </w:tc>
        <w:tc>
          <w:tcPr>
            <w:tcW w:type="dxa" w:w="415"/>
          </w:tcPr>
          <w:p>
            <w:pPr>
              <w:pStyle w:val="null3"/>
            </w:pPr>
            <w:r>
              <w:rPr/>
              <w:t>5</w:t>
            </w:r>
          </w:p>
        </w:tc>
        <w:tc>
          <w:tcPr>
            <w:tcW w:type="dxa" w:w="5814"/>
          </w:tcPr>
          <w:p>
            <w:pPr>
              <w:pStyle w:val="null3"/>
              <w:jc w:val="both"/>
            </w:pPr>
            <w:r>
              <w:rPr>
                <w:sz w:val="20"/>
                <w:b/>
              </w:rPr>
              <w:t>五</w:t>
            </w:r>
            <w:r>
              <w:rPr>
                <w:sz w:val="20"/>
                <w:b/>
              </w:rPr>
              <w:t>、成果报送、审查办法</w:t>
            </w:r>
          </w:p>
          <w:p>
            <w:pPr>
              <w:pStyle w:val="null3"/>
              <w:ind w:firstLine="400"/>
            </w:pPr>
            <w:r>
              <w:rPr>
                <w:sz w:val="20"/>
              </w:rPr>
              <w:t>（一）</w:t>
            </w:r>
            <w:r>
              <w:rPr>
                <w:sz w:val="20"/>
              </w:rPr>
              <w:t>成交供应商</w:t>
            </w:r>
            <w:r>
              <w:rPr>
                <w:sz w:val="20"/>
              </w:rPr>
              <w:t>需负责提供各审查阶段所必需的成果、方案介绍等汇报资料，并协助采购人开展其他必要工作。</w:t>
            </w:r>
          </w:p>
          <w:p>
            <w:pPr>
              <w:pStyle w:val="null3"/>
              <w:ind w:firstLine="400"/>
            </w:pPr>
            <w:r>
              <w:rPr>
                <w:sz w:val="20"/>
              </w:rPr>
              <w:t>（二）</w:t>
            </w:r>
            <w:r>
              <w:rPr>
                <w:sz w:val="20"/>
              </w:rPr>
              <w:t>成交供应商</w:t>
            </w:r>
            <w:r>
              <w:rPr>
                <w:sz w:val="20"/>
              </w:rPr>
              <w:t>在规划编制各阶段均应加强成果的自查自审，做好自查自审记录，并建立技术质量管理制度，明确项目负责人及各技术人员的职责，遵守法律法规，维护规划体系，确保规划成果满足要求。</w:t>
            </w:r>
          </w:p>
        </w:tc>
      </w:tr>
      <w:tr>
        <w:tc>
          <w:tcPr>
            <w:tcW w:type="dxa" w:w="2076"/>
          </w:tcPr>
          <w:p/>
        </w:tc>
        <w:tc>
          <w:tcPr>
            <w:tcW w:type="dxa" w:w="415"/>
          </w:tcPr>
          <w:p>
            <w:pPr>
              <w:pStyle w:val="null3"/>
            </w:pPr>
            <w:r>
              <w:rPr/>
              <w:t>6</w:t>
            </w:r>
          </w:p>
        </w:tc>
        <w:tc>
          <w:tcPr>
            <w:tcW w:type="dxa" w:w="5814"/>
          </w:tcPr>
          <w:p>
            <w:pPr>
              <w:pStyle w:val="null3"/>
            </w:pPr>
            <w:r>
              <w:rPr>
                <w:sz w:val="20"/>
                <w:b/>
              </w:rPr>
              <w:t>六</w:t>
            </w:r>
            <w:r>
              <w:rPr>
                <w:sz w:val="20"/>
                <w:b/>
              </w:rPr>
              <w:t>、保密条款</w:t>
            </w:r>
          </w:p>
          <w:p>
            <w:pPr>
              <w:pStyle w:val="null3"/>
              <w:ind w:firstLine="400"/>
              <w:jc w:val="both"/>
            </w:pPr>
            <w:r>
              <w:rPr>
                <w:sz w:val="20"/>
              </w:rPr>
              <w:t>本项目的所有中间成果、最终成果以及采购人提供的资料，其所有权均属采购人，未经采购人同意，</w:t>
            </w:r>
            <w:r>
              <w:rPr>
                <w:sz w:val="20"/>
              </w:rPr>
              <w:t>成交供应商</w:t>
            </w:r>
            <w:r>
              <w:rPr>
                <w:sz w:val="20"/>
              </w:rPr>
              <w:t>不得外泄，否则采购人有权追究</w:t>
            </w:r>
            <w:r>
              <w:rPr>
                <w:sz w:val="20"/>
              </w:rPr>
              <w:t>成交供应商</w:t>
            </w:r>
            <w:r>
              <w:rPr>
                <w:sz w:val="20"/>
              </w:rPr>
              <w:t>的责任。</w:t>
            </w:r>
          </w:p>
        </w:tc>
      </w:tr>
      <w:tr>
        <w:tc>
          <w:tcPr>
            <w:tcW w:type="dxa" w:w="2076"/>
          </w:tcPr>
          <w:p/>
        </w:tc>
        <w:tc>
          <w:tcPr>
            <w:tcW w:type="dxa" w:w="415"/>
          </w:tcPr>
          <w:p>
            <w:pPr>
              <w:pStyle w:val="null3"/>
            </w:pPr>
            <w:r>
              <w:rPr/>
              <w:t>7</w:t>
            </w:r>
          </w:p>
        </w:tc>
        <w:tc>
          <w:tcPr>
            <w:tcW w:type="dxa" w:w="5814"/>
          </w:tcPr>
          <w:p>
            <w:pPr>
              <w:pStyle w:val="null3"/>
            </w:pPr>
            <w:r>
              <w:rPr>
                <w:sz w:val="20"/>
                <w:b/>
              </w:rPr>
              <w:t>七</w:t>
            </w:r>
            <w:r>
              <w:rPr>
                <w:sz w:val="20"/>
                <w:b/>
              </w:rPr>
              <w:t>、其他要求</w:t>
            </w:r>
          </w:p>
          <w:p>
            <w:pPr>
              <w:pStyle w:val="null3"/>
              <w:ind w:firstLine="420"/>
              <w:jc w:val="both"/>
            </w:pPr>
            <w:r>
              <w:rPr>
                <w:sz w:val="21"/>
              </w:rPr>
              <w:t>1</w:t>
            </w:r>
            <w:r>
              <w:rPr>
                <w:sz w:val="21"/>
              </w:rPr>
              <w:t>、服务响应要求：在采购人提出服务要求（电话或书面）后供应商须在</w:t>
            </w:r>
            <w:r>
              <w:rPr>
                <w:sz w:val="21"/>
              </w:rPr>
              <w:t>2</w:t>
            </w:r>
            <w:r>
              <w:rPr>
                <w:sz w:val="21"/>
              </w:rPr>
              <w:t>小时内（含）进行响应。</w:t>
            </w:r>
          </w:p>
          <w:p>
            <w:pPr>
              <w:pStyle w:val="null3"/>
              <w:ind w:firstLine="420"/>
              <w:jc w:val="both"/>
            </w:pPr>
            <w:r>
              <w:rPr>
                <w:sz w:val="21"/>
              </w:rPr>
              <w:t>2</w:t>
            </w:r>
            <w:r>
              <w:rPr>
                <w:sz w:val="21"/>
              </w:rPr>
              <w:t>、供应商承诺后续不少于</w:t>
            </w:r>
            <w:r>
              <w:rPr>
                <w:sz w:val="21"/>
              </w:rPr>
              <w:t>1</w:t>
            </w:r>
            <w:r>
              <w:rPr>
                <w:sz w:val="21"/>
              </w:rPr>
              <w:t>年协助动态更新数据成果并提供相关服务，提供跟踪研究服务保障方案。</w:t>
            </w:r>
          </w:p>
          <w:p>
            <w:pPr>
              <w:pStyle w:val="null3"/>
              <w:ind w:firstLine="420"/>
              <w:jc w:val="both"/>
            </w:pPr>
            <w:r>
              <w:rPr>
                <w:sz w:val="21"/>
              </w:rPr>
              <w:t>3</w:t>
            </w:r>
            <w:r>
              <w:rPr>
                <w:sz w:val="21"/>
              </w:rPr>
              <w:t>、</w:t>
            </w:r>
            <w:r>
              <w:rPr>
                <w:sz w:val="20"/>
              </w:rPr>
              <w:t>成交供应商</w:t>
            </w:r>
            <w:r>
              <w:rPr>
                <w:sz w:val="21"/>
              </w:rPr>
              <w:t>需符合相关保密规定，方可取得采购人提供的相关材料。</w:t>
            </w:r>
          </w:p>
          <w:p>
            <w:pPr>
              <w:pStyle w:val="null3"/>
              <w:ind w:firstLine="420"/>
              <w:jc w:val="both"/>
            </w:pPr>
            <w:r>
              <w:rPr>
                <w:sz w:val="21"/>
              </w:rPr>
              <w:t>4</w:t>
            </w:r>
            <w:r>
              <w:rPr>
                <w:sz w:val="21"/>
              </w:rPr>
              <w:t>、因成果质量问题需进行技术修正的，</w:t>
            </w:r>
            <w:r>
              <w:rPr>
                <w:sz w:val="20"/>
              </w:rPr>
              <w:t>成交供应商</w:t>
            </w:r>
            <w:r>
              <w:rPr>
                <w:sz w:val="21"/>
              </w:rPr>
              <w:t>须无条件提供后续服务。</w:t>
            </w:r>
          </w:p>
          <w:p>
            <w:pPr>
              <w:pStyle w:val="null3"/>
              <w:ind w:firstLine="420"/>
            </w:pPr>
            <w:r>
              <w:rPr>
                <w:sz w:val="21"/>
              </w:rPr>
              <w:t>5</w:t>
            </w:r>
            <w:r>
              <w:rPr>
                <w:sz w:val="21"/>
              </w:rPr>
              <w:t>、由于不可抗力因素或客观原因导致规划编制项目难以继续推进，致使合同无法履行时，双方应及时协商解决；无法解决时，双方可协商终止合同，费用按“付款方式”中阶段进度结算。不可抗力发生后，一方应立即通知另一方，并及时提供不可抗力的有效证明文件。</w:t>
            </w:r>
          </w:p>
        </w:tc>
      </w:tr>
      <w:tr>
        <w:tc>
          <w:tcPr>
            <w:tcW w:type="dxa" w:w="2076"/>
          </w:tcPr>
          <w:p/>
        </w:tc>
        <w:tc>
          <w:tcPr>
            <w:tcW w:type="dxa" w:w="415"/>
          </w:tcPr>
          <w:p>
            <w:pPr>
              <w:pStyle w:val="null3"/>
            </w:pPr>
            <w:r>
              <w:rPr/>
              <w:t>8</w:t>
            </w:r>
          </w:p>
        </w:tc>
        <w:tc>
          <w:tcPr>
            <w:tcW w:type="dxa" w:w="5814"/>
          </w:tcPr>
          <w:p>
            <w:pPr>
              <w:pStyle w:val="null3"/>
            </w:pPr>
            <w:r>
              <w:rPr>
                <w:sz w:val="20"/>
                <w:b/>
              </w:rPr>
              <w:t>八</w:t>
            </w:r>
            <w:r>
              <w:rPr>
                <w:sz w:val="20"/>
                <w:b/>
              </w:rPr>
              <w:t>、知识产权</w:t>
            </w:r>
          </w:p>
          <w:p>
            <w:pPr>
              <w:pStyle w:val="null3"/>
              <w:ind w:firstLine="400"/>
            </w:pPr>
            <w:r>
              <w:rPr>
                <w:sz w:val="20"/>
              </w:rPr>
              <w:t>1</w:t>
            </w:r>
            <w:r>
              <w:rPr>
                <w:sz w:val="20"/>
              </w:rPr>
              <w:t>、本合同项目成果的知识产权归采购人所有，</w:t>
            </w:r>
            <w:r>
              <w:rPr>
                <w:sz w:val="20"/>
              </w:rPr>
              <w:t>成交供应商</w:t>
            </w:r>
            <w:r>
              <w:rPr>
                <w:sz w:val="20"/>
              </w:rPr>
              <w:t>未经采购人书面同意不得引用、发表或向任何第三方提供与本项目成果相关的咨询报告。</w:t>
            </w:r>
          </w:p>
          <w:p>
            <w:pPr>
              <w:pStyle w:val="null3"/>
              <w:ind w:firstLine="400"/>
            </w:pPr>
            <w:r>
              <w:rPr>
                <w:sz w:val="20"/>
              </w:rPr>
              <w:t>2</w:t>
            </w:r>
            <w:r>
              <w:rPr>
                <w:sz w:val="20"/>
              </w:rPr>
              <w:t>、采购人有权在成果审定后公开展示，并通过传播、媒介、专业杂志、书刊及其他形式介绍、展示、评价报告成果。</w:t>
            </w:r>
          </w:p>
          <w:p>
            <w:pPr>
              <w:pStyle w:val="null3"/>
              <w:ind w:firstLine="400"/>
            </w:pPr>
            <w:r>
              <w:rPr>
                <w:sz w:val="20"/>
              </w:rPr>
              <w:t>3</w:t>
            </w:r>
            <w:r>
              <w:rPr>
                <w:sz w:val="20"/>
              </w:rPr>
              <w:t>、</w:t>
            </w:r>
            <w:r>
              <w:rPr>
                <w:sz w:val="20"/>
              </w:rPr>
              <w:t>成交供应商</w:t>
            </w:r>
            <w:r>
              <w:rPr>
                <w:sz w:val="20"/>
              </w:rPr>
              <w:t>应保证本项目的技术、服务、设计成果或其任何一部分不会产生因第三方提出侵犯其专利权、商标权或其他知识产权而引起的任何纠纷；如因第三方提出其专利权、商标权或其他知识产权的侵权之诉，则一切法律责任由</w:t>
            </w:r>
            <w:r>
              <w:rPr>
                <w:sz w:val="20"/>
              </w:rPr>
              <w:t>成交供应商</w:t>
            </w:r>
            <w:r>
              <w:rPr>
                <w:sz w:val="20"/>
              </w:rPr>
              <w:t>承担。</w:t>
            </w:r>
          </w:p>
          <w:p>
            <w:pPr>
              <w:pStyle w:val="null3"/>
              <w:ind w:firstLine="400"/>
            </w:pPr>
            <w:r>
              <w:rPr>
                <w:sz w:val="20"/>
              </w:rPr>
              <w:t>4</w:t>
            </w:r>
            <w:r>
              <w:rPr>
                <w:sz w:val="20"/>
              </w:rPr>
              <w:t>、采购人引用本工作成果所完成的新技术成果，属采购人所有，采购人可依法享有该项技术成果知识产权。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中山市文化广电旅游局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采购机构代理服务收费标准：(1)本项目的代理服务费按下列差额定率累进法计算标准收取:1.成交金额（100万元或以下），收费费率1.5%；2.成交金额（100万元（不含）-500万元（含）），收费费率0.8%； (2)代理服务费的货币为人民币； (3)代理服务费支付方式：一次性以银行划账、电汇、汇票或支票的形式支付； (4)代理服务费支付时间：代理服务费必须在成交供应商领取《成交通知书》时一次性付清，如果成交供应商未能按时交纳代理服务费，采购代理机构/采购人保留追究其法律责任的权利； (5)代理服务费不在报价中单列。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；请各供应商在响应文件递交截止时间前按须知前附表规定的金额递交至</w:t>
      </w:r>
      <w:r>
        <w:rPr/>
        <w:t>广东志正招标有限公司中山分公司</w:t>
      </w:r>
      <w:r>
        <w:rPr/>
        <w:t>，到账情况以开启时</w:t>
      </w:r>
      <w:r>
        <w:rPr/>
        <w:t>广东志正招标有限公司中山分公司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凌小姐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孙中山故里旅游区片区提升规划设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采购包1（孙中山故里旅游区片区提升规划设计项目）：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采购包1（孙中山故里旅游区片区提升规划设计项目）：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政府采购供应商资格信用承诺函》（格式详见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状况报告（或2025年1月至今任意一个月份财务报表）关键页或由基本开户银行出具的资信证明或提供《政府采购供应商资格信用承诺函》（格式详见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采购包1（孙中山故里旅游区片区提升规划设计项目）：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报价文件按照磋商文件规定填写并按要求签署、盖章，包括：①响应承诺函；②法定代表人证明书或法定代表人授权书；③首轮报价表；④分项报价表；⑤承诺函（如有）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采购包1(孙中山故里旅游区片区提升规划设计项目):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项目背景和目标意义的理解 (5.0分)</w:t>
            </w:r>
          </w:p>
        </w:tc>
        <w:tc>
          <w:tcPr>
            <w:tcW w:type="dxa" w:w="5076"/>
          </w:tcPr>
          <w:p>
            <w:pPr>
              <w:pStyle w:val="null3"/>
              <w:jc w:val="left"/>
            </w:pPr>
            <w:r>
              <w:rPr/>
              <w:t>供应商基于对本项目采购需求的理解，对孙中山故里旅游区复评要求和高质量发展总体规划工作的背景、目标意义的理解和阐述。(1)对项目的整体情况有深刻全面的理解，方案完全满足且优于采购需求的，得5分；(2)对项目的整体情况有较深刻的理解，方案满足采购需求的，得3分；(3)对项目的整体情况理解一般，方案基本满足采购需求的，得1分；(4)方案不能满足采购需求或没有提供方案的，得0分。</w:t>
            </w:r>
          </w:p>
        </w:tc>
      </w:tr>
      <w:tr>
        <w:tc>
          <w:tcPr>
            <w:tcW w:type="dxa" w:w="922"/>
            <w:gridSpan w:val="2"/>
            <w:vMerge/>
          </w:tcPr>
          <w:p/>
        </w:tc>
        <w:tc>
          <w:tcPr>
            <w:tcW w:type="dxa" w:w="2307"/>
          </w:tcPr>
          <w:p>
            <w:pPr>
              <w:pStyle w:val="null3"/>
              <w:jc w:val="left"/>
            </w:pPr>
            <w:r>
              <w:rPr/>
              <w:t>本项目旅游区规划工作基础掌握情况 (12.0分)</w:t>
            </w:r>
          </w:p>
        </w:tc>
        <w:tc>
          <w:tcPr>
            <w:tcW w:type="dxa" w:w="5076"/>
          </w:tcPr>
          <w:p>
            <w:pPr>
              <w:pStyle w:val="null3"/>
              <w:jc w:val="left"/>
            </w:pPr>
            <w:r>
              <w:rPr/>
              <w:t>根据供应商对本项目实施地的基本情况及规划条件熟悉程度进行评审：内容包括①自然人文环境、②旅游资源现状及使用特征、③产业现状及发展潜力、④已有规划定位和发展条件、⑤交通系统分析、⑥土地资源的现状分析6项内容，每包含1项得2分，最高得12分。</w:t>
            </w:r>
          </w:p>
        </w:tc>
      </w:tr>
      <w:tr>
        <w:tc>
          <w:tcPr>
            <w:tcW w:type="dxa" w:w="922"/>
            <w:gridSpan w:val="2"/>
            <w:vMerge/>
          </w:tcPr>
          <w:p/>
        </w:tc>
        <w:tc>
          <w:tcPr>
            <w:tcW w:type="dxa" w:w="2307"/>
          </w:tcPr>
          <w:p>
            <w:pPr>
              <w:pStyle w:val="null3"/>
              <w:jc w:val="left"/>
            </w:pPr>
            <w:r>
              <w:rPr/>
              <w:t>本项目旅游区规划服务内容及重点难点理解 (15.0分)</w:t>
            </w:r>
          </w:p>
        </w:tc>
        <w:tc>
          <w:tcPr>
            <w:tcW w:type="dxa" w:w="5076"/>
          </w:tcPr>
          <w:p>
            <w:pPr>
              <w:pStyle w:val="null3"/>
              <w:jc w:val="left"/>
            </w:pPr>
            <w:r>
              <w:rPr/>
              <w:t>供应商正确理解项目需求，准确判读项目重难点，结合孙中山故里旅游区及其周边发展定位、国家5A旅游景区复评要求、重难点分析及对策等方面的阐述进行评审：（1）方案完全满足且优于项目需求，得15分；（2）方案完全满足项目需求，得10分；（3）方案不完全满足项目需求，得5分；（4）方案不满足采购需求或没有提供方案的，得0分。</w:t>
            </w:r>
          </w:p>
        </w:tc>
      </w:tr>
      <w:tr>
        <w:tc>
          <w:tcPr>
            <w:tcW w:type="dxa" w:w="922"/>
            <w:gridSpan w:val="2"/>
            <w:vMerge/>
          </w:tcPr>
          <w:p/>
        </w:tc>
        <w:tc>
          <w:tcPr>
            <w:tcW w:type="dxa" w:w="2307"/>
          </w:tcPr>
          <w:p>
            <w:pPr>
              <w:pStyle w:val="null3"/>
              <w:jc w:val="left"/>
            </w:pPr>
            <w:r>
              <w:rPr/>
              <w:t>工作思路、技术路线、项目计划 (10.0分)</w:t>
            </w:r>
          </w:p>
        </w:tc>
        <w:tc>
          <w:tcPr>
            <w:tcW w:type="dxa" w:w="5076"/>
          </w:tcPr>
          <w:p>
            <w:pPr>
              <w:pStyle w:val="null3"/>
              <w:jc w:val="left"/>
            </w:pPr>
            <w:r>
              <w:rPr/>
              <w:t>供应商针对本项目采购需求，充分借鉴国内先进经验，合理制定工作方案，根据供应商提供的工作思路、技术路线和项目计划方案进行评审：（1）方案完全满足且优于项目需求，得10分；（2）方案完全满足项目需求，得7分；（3）方案不完全满足项目需求，得3分；（4）没有提供方案的，得0分。</w:t>
            </w:r>
          </w:p>
        </w:tc>
      </w:tr>
      <w:tr>
        <w:tc>
          <w:tcPr>
            <w:tcW w:type="dxa" w:w="922"/>
            <w:gridSpan w:val="2"/>
            <w:vMerge/>
          </w:tcPr>
          <w:p/>
        </w:tc>
        <w:tc>
          <w:tcPr>
            <w:tcW w:type="dxa" w:w="2307"/>
          </w:tcPr>
          <w:p>
            <w:pPr>
              <w:pStyle w:val="null3"/>
              <w:jc w:val="left"/>
            </w:pPr>
            <w:r>
              <w:rPr/>
              <w:t>技术成果质量保证 (6.0分)</w:t>
            </w:r>
          </w:p>
        </w:tc>
        <w:tc>
          <w:tcPr>
            <w:tcW w:type="dxa" w:w="5076"/>
          </w:tcPr>
          <w:p>
            <w:pPr>
              <w:pStyle w:val="null3"/>
              <w:jc w:val="left"/>
            </w:pPr>
            <w:r>
              <w:rPr/>
              <w:t>供应商对本项目采购需求的技术成果质量的要求，制定符合实际的技术质量保障方案，根据供应商提供的本项目技术成果质量保障方案进行评审：（1）方案完全满足且优于项目需求，得6分；（2）方案完全满足项目需求，得4分；（3）方案不完全满足项目需求，得2分；（4）没有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考察供应商的同类项目业绩情况：（1）承担过旅游景区项目（包括总体规划、详细规划、研究课题等）每项得1 分，最高6分；（2）服务内容为国土空间总体规划的，每个得1分，累计最高得4分。注：1）业绩时间以合同签订时间为准。2）此项最高得10分。供应商应提供合同关键页复印件(合同关键页包括：服务内容页及双方签章页或签字页；加盖供应商公章)。3）同一项目不同年份的合同按一份业绩计算，不重复计算业绩分数，同一业主在同一招标/采购项目中续签的合同不重复计分。4）响应文件无提供这些同类业绩证明文件复印件不得分。</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（1）项目负责人主持过国土空间总体规划、风景名胜区总体规划、旅游规划，并获得行业学（协）会奖项的，每提供一个省级或以上的得1分，每提供一个市级的得0.5分，以上累加计分，最高得3分。 （2）项目负责人具备具有城市（城乡）规划或风景园林教授级高工（含）以上职称的，得3分；同时具备城市（城乡）规划或风景园林教授级高工（含）以上职称及注册城乡（城市）规划师的，得5分，最高得5分。 注： 1）项目负责人“提供在本单位参保的证明材料，要求为报价截止日之前六个月内任意一个月社保证明文件复印件”。 2）提供注册证书和职称证明，职称证明文件需提供由各专业对应的具有职称评审和认证资格的机构（例如：人社部门或住建部门或自然资源部门专业技术资格评审委员会等）颁发的职称证书复印件。 3）项目负责人相关业绩的获奖（荣誉）证书复印件和合同关键页（含签订合同双方的单位名称、合同项目名称与含签订合同双方的落款盖章、签订日期的关键页）复印件，合同须显示项目负责人姓名，并加盖供应商公章。以上资料未提供或不清晰导致无法识别的不得分。</w:t>
            </w:r>
          </w:p>
        </w:tc>
      </w:tr>
      <w:tr>
        <w:tc>
          <w:tcPr>
            <w:tcW w:type="dxa" w:w="922"/>
            <w:gridSpan w:val="2"/>
            <w:vMerge/>
          </w:tcPr>
          <w:p/>
        </w:tc>
        <w:tc>
          <w:tcPr>
            <w:tcW w:type="dxa" w:w="2307"/>
          </w:tcPr>
          <w:p>
            <w:pPr>
              <w:pStyle w:val="null3"/>
              <w:jc w:val="left"/>
            </w:pPr>
            <w:r>
              <w:rPr/>
              <w:t>团队成员(不包括项目负责人)配置 (12.0分)</w:t>
            </w:r>
          </w:p>
        </w:tc>
        <w:tc>
          <w:tcPr>
            <w:tcW w:type="dxa" w:w="5076"/>
          </w:tcPr>
          <w:p>
            <w:pPr>
              <w:pStyle w:val="null3"/>
              <w:jc w:val="left"/>
            </w:pPr>
            <w:r>
              <w:rPr/>
              <w:t>（1）同时具有城乡（市）规划专业高级（含）以上技术职称和注册城乡（城市）规划师职业资格的，每人得1分；仅具有城乡（市）规划专业高级（含）以上技术职称或注册城乡（城市）规划师执业资格的，每人得0.5分；本小项最高得6分。 （2）具有风景园林、建筑设计、道路交通工程、市政工程、国土、人文地理类专业高级（含）以上技术职称或注册执业资格的，每人得1分；本小项最高得6分。 注：1）供应商须提供团队成员相关注册证书、职称证书复印件并加盖供应商公章，不提供相应证明材料的不计分；2）供应商为拟派人员购买的本单位参保证明材料，要求为报价截止日之前六个月内任意一个月社保证明文件复印件并加盖供应商公章，否则不得分；3）同一专业类别不重复计算、同一人具有多个专业证书的也只计一个专业得分，不累加计分。</w:t>
            </w:r>
          </w:p>
        </w:tc>
      </w:tr>
      <w:tr>
        <w:tc>
          <w:tcPr>
            <w:tcW w:type="dxa" w:w="922"/>
            <w:gridSpan w:val="2"/>
            <w:vMerge/>
          </w:tcPr>
          <w:p/>
        </w:tc>
        <w:tc>
          <w:tcPr>
            <w:tcW w:type="dxa" w:w="2307"/>
          </w:tcPr>
          <w:p>
            <w:pPr>
              <w:pStyle w:val="null3"/>
              <w:jc w:val="left"/>
            </w:pPr>
            <w:r>
              <w:rPr/>
              <w:t>服务响应时间 (3.0分)</w:t>
            </w:r>
          </w:p>
        </w:tc>
        <w:tc>
          <w:tcPr>
            <w:tcW w:type="dxa" w:w="5076"/>
          </w:tcPr>
          <w:p>
            <w:pPr>
              <w:pStyle w:val="null3"/>
              <w:jc w:val="left"/>
            </w:pPr>
            <w:r>
              <w:rPr/>
              <w:t>对供应商针对本项目提供优质的服务与服务范围的便利性、响应速度等进行评审：（1）供应商在接到采购人通知后，2小时内上门服务的，得3分；（2）供应商在接到采购人通知后，2-4小时内上门服务的，得2分；（3）供应商在接到采购人通知后，可当天工作时间内上门服务的，得1分；（4）其他情况不得分。注：1）须提供服务承诺书并加盖供应商公章，否则不得分。服务承诺书格式自拟。</w:t>
            </w:r>
          </w:p>
        </w:tc>
      </w:tr>
      <w:tr>
        <w:tc>
          <w:tcPr>
            <w:tcW w:type="dxa" w:w="922"/>
            <w:gridSpan w:val="2"/>
            <w:vMerge/>
          </w:tcPr>
          <w:p/>
        </w:tc>
        <w:tc>
          <w:tcPr>
            <w:tcW w:type="dxa" w:w="2307"/>
          </w:tcPr>
          <w:p>
            <w:pPr>
              <w:pStyle w:val="null3"/>
              <w:jc w:val="left"/>
            </w:pPr>
            <w:r>
              <w:rPr/>
              <w:t>售后服务响应度 (4.0分)</w:t>
            </w:r>
          </w:p>
        </w:tc>
        <w:tc>
          <w:tcPr>
            <w:tcW w:type="dxa" w:w="5076"/>
          </w:tcPr>
          <w:p>
            <w:pPr>
              <w:pStyle w:val="null3"/>
              <w:jc w:val="left"/>
            </w:pPr>
            <w:r>
              <w:rPr/>
              <w:t>对供应商为本项目提交成果后，提供相应服务进行评审：（1）承诺后续不少于1年协助动态更新数据成果并提供相关服务，并有对本项目跟踪研究服务保障方案且全面、可行,得4分，（2）承诺后续不少于1年协助动态更新数据成果并提供相关服务，有对本项目规划长期跟踪研究服务的基本保障方案,得2分；（3）承诺后续不少于1年协助动态更新数据成果并提供相关服务，但无保障方案或保障方案不能体现跟踪研究服务能力，得1分；（4）其它情况的，不得分。注：1）须提供服务承诺书并加盖供应商公章，否则不得分。服务承诺书格式自拟。</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jc w:val="both"/>
      </w:pPr>
      <w:r>
        <w:rPr>
          <w:sz w:val="21"/>
          <w:color w:val="222222"/>
          <w:shd w:fill="FFFFFF" w:val="clear"/>
        </w:rPr>
        <w:t>根据</w:t>
      </w:r>
      <w:r>
        <w:rPr>
          <w:sz w:val="21"/>
          <w:color w:val="222222"/>
          <w:u w:val="single"/>
          <w:shd w:fill="FFFFFF" w:val="clear"/>
        </w:rPr>
        <w:t>孙中山故里旅游区提升规划设计项目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》的规定，经双方协商，本着平等互利和诚实信用的原则，一致同意遵守本合同如下。</w:t>
      </w:r>
    </w:p>
    <w:p>
      <w:pPr>
        <w:pStyle w:val="null3"/>
        <w:jc w:val="both"/>
      </w:pPr>
      <w:r>
        <w:rPr>
          <w:sz w:val="24"/>
          <w:b/>
          <w:color w:val="000000"/>
        </w:rPr>
        <w:t>一、项目具体要求</w:t>
      </w:r>
    </w:p>
    <w:p>
      <w:pPr>
        <w:pStyle w:val="null3"/>
        <w:jc w:val="both"/>
      </w:pPr>
      <w:r>
        <w:rPr>
          <w:sz w:val="21"/>
          <w:color w:val="000000"/>
        </w:rPr>
        <w:t>1</w:t>
      </w:r>
      <w:r>
        <w:rPr>
          <w:sz w:val="21"/>
          <w:color w:val="000000"/>
        </w:rPr>
        <w:t>、按用户需求书和乙方响应的内容填写。</w:t>
      </w:r>
    </w:p>
    <w:p>
      <w:pPr>
        <w:pStyle w:val="null3"/>
        <w:jc w:val="both"/>
      </w:pPr>
      <w:r>
        <w:rPr>
          <w:sz w:val="24"/>
          <w:b/>
          <w:color w:val="000000"/>
        </w:rPr>
        <w:t>二、合同金额</w:t>
      </w:r>
    </w:p>
    <w:p>
      <w:pPr>
        <w:pStyle w:val="null3"/>
        <w:ind w:left="420"/>
        <w:jc w:val="both"/>
      </w:pPr>
      <w:r>
        <w:rPr>
          <w:sz w:val="21"/>
          <w:color w:val="000000"/>
        </w:rPr>
        <w:t xml:space="preserve">1.  </w:t>
      </w:r>
      <w:r>
        <w:rPr>
          <w:sz w:val="21"/>
          <w:b/>
          <w:color w:val="000000"/>
        </w:rPr>
        <w:t>合同金额为￥</w:t>
      </w:r>
      <w:r>
        <w:rPr>
          <w:sz w:val="21"/>
          <w:b/>
          <w:color w:val="000000"/>
          <w:u w:val="single"/>
        </w:rPr>
        <w:t xml:space="preserve">                         </w:t>
      </w:r>
      <w:r>
        <w:rPr>
          <w:sz w:val="21"/>
          <w:b/>
          <w:color w:val="000000"/>
        </w:rPr>
        <w:t>（人民币</w:t>
      </w:r>
      <w:r>
        <w:rPr>
          <w:sz w:val="21"/>
          <w:b/>
          <w:color w:val="000000"/>
          <w:u w:val="single"/>
        </w:rPr>
        <w:t xml:space="preserve">                    </w:t>
      </w:r>
      <w:r>
        <w:rPr>
          <w:sz w:val="21"/>
          <w:b/>
          <w:color w:val="000000"/>
        </w:rPr>
        <w:t>元整）。</w:t>
      </w:r>
    </w:p>
    <w:p>
      <w:pPr>
        <w:pStyle w:val="null3"/>
        <w:ind w:left="420"/>
        <w:jc w:val="both"/>
      </w:pPr>
      <w:r>
        <w:rPr>
          <w:sz w:val="21"/>
          <w:color w:val="000000"/>
        </w:rPr>
        <w:t xml:space="preserve">2.  </w:t>
      </w:r>
      <w:r>
        <w:rPr>
          <w:sz w:val="21"/>
          <w:color w:val="000000"/>
        </w:rPr>
        <w:t>详细报价详见</w:t>
      </w:r>
      <w:r>
        <w:rPr>
          <w:sz w:val="21"/>
          <w:color w:val="000000"/>
          <w:u w:val="single"/>
        </w:rPr>
        <w:t xml:space="preserve">   （如有）       。</w:t>
      </w:r>
    </w:p>
    <w:p>
      <w:pPr>
        <w:pStyle w:val="null3"/>
        <w:jc w:val="both"/>
      </w:pPr>
      <w:r>
        <w:rPr>
          <w:sz w:val="24"/>
          <w:b/>
          <w:color w:val="000000"/>
        </w:rPr>
        <w:t>三、付款方式</w:t>
      </w:r>
    </w:p>
    <w:p>
      <w:pPr>
        <w:pStyle w:val="null3"/>
        <w:jc w:val="both"/>
      </w:pPr>
      <w:r>
        <w:rPr>
          <w:sz w:val="21"/>
          <w:color w:val="000000"/>
        </w:rPr>
        <w:t>1</w:t>
      </w:r>
      <w:r>
        <w:rPr>
          <w:sz w:val="21"/>
          <w:color w:val="000000"/>
        </w:rPr>
        <w:t>、支付形式：</w:t>
      </w:r>
      <w:r>
        <w:rPr>
          <w:sz w:val="21"/>
          <w:u w:val="single"/>
        </w:rPr>
        <w:t xml:space="preserve">         </w:t>
      </w:r>
      <w:r>
        <w:rPr>
          <w:sz w:val="21"/>
          <w:color w:val="000000"/>
          <w:u w:val="single"/>
        </w:rPr>
        <w:t>。</w:t>
      </w:r>
    </w:p>
    <w:p>
      <w:pPr>
        <w:pStyle w:val="null3"/>
        <w:jc w:val="both"/>
      </w:pPr>
      <w:r>
        <w:rPr>
          <w:sz w:val="21"/>
          <w:color w:val="000000"/>
        </w:rPr>
        <w:t>2</w:t>
      </w:r>
      <w:r>
        <w:rPr>
          <w:sz w:val="21"/>
          <w:color w:val="000000"/>
        </w:rPr>
        <w:t>、项目分三期支付：（1）自双方签订合同之日起15个工作日内，乙方提交项目工作大纲及付款申请，甲方按照市财政局安排该项目年度</w:t>
      </w:r>
      <w:r>
        <w:rPr>
          <w:sz w:val="21"/>
        </w:rPr>
        <w:t>资金开展支付工作，支付乙方合同总价款的30%；（2）乙方提交项目成果并通过市规委会审议</w:t>
      </w:r>
      <w:r>
        <w:rPr>
          <w:sz w:val="21"/>
        </w:rPr>
        <w:t>或专家评审</w:t>
      </w:r>
      <w:r>
        <w:rPr>
          <w:sz w:val="21"/>
        </w:rPr>
        <w:t>后</w:t>
      </w:r>
      <w:r>
        <w:rPr>
          <w:sz w:val="21"/>
        </w:rPr>
        <w:t>（相关费用由乙方承担）</w:t>
      </w:r>
      <w:r>
        <w:rPr>
          <w:sz w:val="21"/>
        </w:rPr>
        <w:t>，甲方按照市财政局安排该项目年度资金开展支付工作，支付乙方合同总价款的40%；（3）乙方提交项目成果经市委或市政府</w:t>
      </w:r>
      <w:r>
        <w:rPr>
          <w:sz w:val="21"/>
        </w:rPr>
        <w:t>或市</w:t>
      </w:r>
      <w:r>
        <w:rPr>
          <w:sz w:val="21"/>
        </w:rPr>
        <w:t>“</w:t>
      </w:r>
      <w:r>
        <w:rPr>
          <w:sz w:val="21"/>
        </w:rPr>
        <w:t>百千万工程</w:t>
      </w:r>
      <w:r>
        <w:rPr>
          <w:sz w:val="21"/>
        </w:rPr>
        <w:t>”</w:t>
      </w:r>
      <w:r>
        <w:rPr>
          <w:sz w:val="21"/>
        </w:rPr>
        <w:t>指挥部审议通过</w:t>
      </w:r>
      <w:r>
        <w:rPr>
          <w:sz w:val="21"/>
        </w:rPr>
        <w:t>，甲方按照市财政局安排该项目年度资金开展支付工作，支付乙方合同总价款的30%。</w:t>
      </w:r>
    </w:p>
    <w:p>
      <w:pPr>
        <w:pStyle w:val="null3"/>
        <w:ind w:firstLine="420"/>
        <w:jc w:val="both"/>
      </w:pPr>
      <w:r>
        <w:rPr>
          <w:sz w:val="21"/>
        </w:rPr>
        <w:t>注：（1）双方可委托银行代付代收有关费用。（2）乙</w:t>
      </w:r>
      <w:r>
        <w:rPr>
          <w:sz w:val="21"/>
          <w:color w:val="000000"/>
        </w:rPr>
        <w:t>方在开具等额正式发票给甲方后，甲方将款项支付给乙方。（3）乙方按照合同编制完成各阶段成果，提交纸质和相应电子数据成果，并协助甲方完成成果的汇报、上报、和审查等工作。（5）因甲方使用的是财政资金，若财政拨款到位且满足请款条件的前提下，甲方在规定的付款时间向财政部门提出办理财政支付申请手续（不含财政部门审核的时间），即视为甲方已经履行按期支付。若财政拨款未能按时到位，支付时间及额度以财政资金到位为准。乙方不能因费用拨款滞后而影响正常工作开展和服务质量。</w:t>
      </w:r>
    </w:p>
    <w:p>
      <w:pPr>
        <w:pStyle w:val="null3"/>
        <w:jc w:val="both"/>
      </w:pPr>
      <w:r>
        <w:rPr>
          <w:sz w:val="21"/>
          <w:color w:val="000000"/>
        </w:rPr>
        <w:t>3</w:t>
      </w:r>
      <w:r>
        <w:rPr>
          <w:sz w:val="21"/>
          <w:color w:val="000000"/>
        </w:rPr>
        <w:t>、本项目的合同金额为人民币</w:t>
      </w:r>
      <w:r>
        <w:rPr>
          <w:sz w:val="21"/>
          <w:b/>
          <w:color w:val="000000"/>
        </w:rPr>
        <w:t>￥</w:t>
      </w:r>
      <w:r>
        <w:rPr>
          <w:sz w:val="21"/>
          <w:b/>
          <w:color w:val="000000"/>
          <w:u w:val="single"/>
        </w:rPr>
        <w:t xml:space="preserve">       </w:t>
      </w:r>
      <w:r>
        <w:rPr>
          <w:sz w:val="21"/>
          <w:color w:val="000000"/>
        </w:rPr>
        <w:t>万元。费用实行总包干，包括现场勘察费、调研费、资料费、设计费、方案修改费、公示费、评审费、差旅费、公布费、打印费及税费等完成本项目在内的所有费用。</w:t>
      </w:r>
    </w:p>
    <w:p>
      <w:pPr>
        <w:pStyle w:val="null3"/>
        <w:jc w:val="both"/>
      </w:pPr>
      <w:r>
        <w:rPr>
          <w:sz w:val="24"/>
          <w:b/>
          <w:color w:val="000000"/>
        </w:rPr>
        <w:t>四、服务要求</w:t>
      </w:r>
    </w:p>
    <w:p>
      <w:pPr>
        <w:pStyle w:val="null3"/>
        <w:ind w:firstLine="420"/>
        <w:jc w:val="both"/>
      </w:pPr>
      <w:r>
        <w:rPr>
          <w:sz w:val="21"/>
          <w:color w:val="000000"/>
        </w:rPr>
        <w:t>1</w:t>
      </w:r>
      <w:r>
        <w:rPr>
          <w:sz w:val="21"/>
          <w:color w:val="000000"/>
        </w:rPr>
        <w:t>、本项目的具体服务时间进度及安排，均需由乙方与甲方待项目采购合同正式签订生效后，根据甲方的意见和建议进行确定具体的时间日期，但乙方拟实施方案需提交甲方审核，并经甲方审核并确认通过后方可组织实施。</w:t>
      </w:r>
    </w:p>
    <w:p>
      <w:pPr>
        <w:pStyle w:val="null3"/>
        <w:ind w:firstLine="420"/>
        <w:jc w:val="both"/>
      </w:pPr>
      <w:r>
        <w:rPr>
          <w:sz w:val="21"/>
          <w:color w:val="000000"/>
        </w:rPr>
        <w:t>2</w:t>
      </w:r>
      <w:r>
        <w:rPr>
          <w:sz w:val="21"/>
          <w:color w:val="000000"/>
        </w:rPr>
        <w:t>、甲方根据实际需要，提前向乙方发出服务内容的具体通知，明确任务的质量和时间要求，乙方在收到通知后，应立即进行确认并尽快安排相关的人员，确保按时保质完成。</w:t>
      </w:r>
    </w:p>
    <w:p>
      <w:pPr>
        <w:pStyle w:val="null3"/>
        <w:ind w:firstLine="420"/>
        <w:jc w:val="both"/>
      </w:pPr>
      <w:r>
        <w:rPr>
          <w:sz w:val="21"/>
          <w:color w:val="000000"/>
        </w:rPr>
        <w:t>3</w:t>
      </w:r>
      <w:r>
        <w:rPr>
          <w:sz w:val="21"/>
          <w:color w:val="000000"/>
        </w:rPr>
        <w:t>、乙方需要保质保量完成甲方的服务要求，甲方有权根据乙方提供的实施方案及设计方案提出修改意见，乙方须积极配合修改设计方案，由此产生的所有费用均包含在本项目的报价中，乙方自行承担相关费用，甲方不再支付任何费用。</w:t>
      </w:r>
    </w:p>
    <w:p>
      <w:pPr>
        <w:pStyle w:val="null3"/>
        <w:ind w:left="-105" w:firstLine="420"/>
        <w:jc w:val="both"/>
      </w:pPr>
      <w:r>
        <w:rPr>
          <w:sz w:val="24"/>
          <w:b/>
          <w:color w:val="000000"/>
        </w:rPr>
        <w:t>五、验收标准</w:t>
      </w:r>
    </w:p>
    <w:p>
      <w:pPr>
        <w:pStyle w:val="null3"/>
        <w:ind w:firstLine="420"/>
        <w:jc w:val="both"/>
      </w:pPr>
      <w:r>
        <w:rPr>
          <w:sz w:val="21"/>
          <w:color w:val="000000"/>
        </w:rPr>
        <w:t>1</w:t>
      </w:r>
      <w:r>
        <w:rPr>
          <w:sz w:val="21"/>
          <w:color w:val="000000"/>
        </w:rPr>
        <w:t>、乙方完成技术服务工作的形式：依据甲方要求，完成项目的文本、研究报告、图纸等。</w:t>
      </w:r>
    </w:p>
    <w:p>
      <w:pPr>
        <w:pStyle w:val="null3"/>
        <w:ind w:firstLine="420"/>
        <w:jc w:val="both"/>
      </w:pPr>
      <w:r>
        <w:rPr>
          <w:sz w:val="21"/>
          <w:color w:val="000000"/>
        </w:rPr>
        <w:t>2</w:t>
      </w:r>
      <w:r>
        <w:rPr>
          <w:sz w:val="21"/>
          <w:color w:val="000000"/>
        </w:rPr>
        <w:t>、技术服务工作成果的验收标准：按照《中华人民共和国城乡规划法》、《旅游景区质量等级划分》（GB/T 17775-2024）等现行的国家、省市有关规划和相关行业标准、技术规范的技术要求，如有最新标准则按最新标准。</w:t>
      </w:r>
    </w:p>
    <w:p>
      <w:pPr>
        <w:pStyle w:val="null3"/>
        <w:ind w:firstLine="420"/>
        <w:jc w:val="both"/>
      </w:pPr>
      <w:r>
        <w:rPr>
          <w:sz w:val="21"/>
          <w:color w:val="000000"/>
        </w:rPr>
        <w:t>3</w:t>
      </w:r>
      <w:r>
        <w:rPr>
          <w:sz w:val="21"/>
          <w:color w:val="000000"/>
        </w:rPr>
        <w:t>、技术服务工作成果的验收方法：</w:t>
      </w:r>
      <w:r>
        <w:rPr>
          <w:sz w:val="21"/>
        </w:rPr>
        <w:t>由甲方组织审查验收，需通过市规委会审议或通过专家评审（相关费用由乙方承担），最后经市委或市政府或市</w:t>
      </w:r>
      <w:r>
        <w:rPr>
          <w:sz w:val="21"/>
        </w:rPr>
        <w:t>“</w:t>
      </w:r>
      <w:r>
        <w:rPr>
          <w:sz w:val="21"/>
        </w:rPr>
        <w:t>百千万工程</w:t>
      </w:r>
      <w:r>
        <w:rPr>
          <w:sz w:val="21"/>
        </w:rPr>
        <w:t>”</w:t>
      </w:r>
      <w:r>
        <w:rPr>
          <w:sz w:val="21"/>
        </w:rPr>
        <w:t>指挥部审议通过。</w:t>
      </w:r>
    </w:p>
    <w:p>
      <w:pPr>
        <w:pStyle w:val="null3"/>
        <w:ind w:firstLine="420"/>
        <w:jc w:val="both"/>
      </w:pPr>
      <w:r>
        <w:rPr>
          <w:sz w:val="21"/>
          <w:color w:val="000000"/>
        </w:rPr>
        <w:t>4</w:t>
      </w:r>
      <w:r>
        <w:rPr>
          <w:sz w:val="21"/>
          <w:color w:val="000000"/>
        </w:rPr>
        <w:t>、验收的时间和地点：由甲方确定。</w:t>
      </w:r>
    </w:p>
    <w:p>
      <w:pPr>
        <w:pStyle w:val="null3"/>
        <w:ind w:firstLine="420"/>
        <w:jc w:val="both"/>
      </w:pPr>
      <w:r>
        <w:rPr>
          <w:sz w:val="21"/>
          <w:color w:val="000000"/>
        </w:rPr>
        <w:t>5</w:t>
      </w:r>
      <w:r>
        <w:rPr>
          <w:sz w:val="21"/>
          <w:color w:val="000000"/>
        </w:rPr>
        <w:t>、验收时如发现服务内容不符合合同约定、项目需求、甲方要求或法律规定之情形，甲方有权要求乙方限期整改，相关费用由乙方承担。如乙方拒绝整改、整改后仍不合格或限期内无法完成整改的，甲方有权要求乙方承担相应的违约责任。</w:t>
      </w:r>
    </w:p>
    <w:p>
      <w:pPr>
        <w:pStyle w:val="null3"/>
        <w:jc w:val="both"/>
      </w:pPr>
      <w:r>
        <w:rPr>
          <w:sz w:val="24"/>
          <w:b/>
          <w:color w:val="000000"/>
        </w:rPr>
        <w:t>六、双方的权利和义务</w:t>
      </w:r>
    </w:p>
    <w:p>
      <w:pPr>
        <w:pStyle w:val="null3"/>
        <w:jc w:val="both"/>
      </w:pPr>
      <w:r>
        <w:rPr>
          <w:sz w:val="21"/>
          <w:b/>
          <w:color w:val="000000"/>
        </w:rPr>
        <w:t>（一）甲方的权利和义务</w:t>
      </w:r>
    </w:p>
    <w:p>
      <w:pPr>
        <w:pStyle w:val="null3"/>
        <w:jc w:val="both"/>
      </w:pPr>
      <w:r>
        <w:rPr>
          <w:sz w:val="21"/>
          <w:color w:val="000000"/>
        </w:rPr>
        <w:t>1</w:t>
      </w:r>
      <w:r>
        <w:rPr>
          <w:sz w:val="21"/>
          <w:color w:val="000000"/>
        </w:rPr>
        <w:t>、有权利得到合同承诺的满足要求的服务；</w:t>
      </w:r>
    </w:p>
    <w:p>
      <w:pPr>
        <w:pStyle w:val="null3"/>
        <w:jc w:val="both"/>
      </w:pPr>
      <w:r>
        <w:rPr>
          <w:sz w:val="21"/>
          <w:color w:val="000000"/>
        </w:rPr>
        <w:t>2</w:t>
      </w:r>
      <w:r>
        <w:rPr>
          <w:sz w:val="21"/>
          <w:color w:val="000000"/>
        </w:rPr>
        <w:t>、按本合同约定的时间及办法对服务成果进行验收；</w:t>
      </w:r>
    </w:p>
    <w:p>
      <w:pPr>
        <w:pStyle w:val="null3"/>
        <w:jc w:val="both"/>
      </w:pPr>
      <w:r>
        <w:rPr>
          <w:sz w:val="21"/>
          <w:color w:val="000000"/>
        </w:rPr>
        <w:t>3</w:t>
      </w:r>
      <w:r>
        <w:rPr>
          <w:sz w:val="21"/>
          <w:color w:val="000000"/>
        </w:rPr>
        <w:t>、向乙方提供与本项目服务工作有关的资料；</w:t>
      </w:r>
    </w:p>
    <w:p>
      <w:pPr>
        <w:pStyle w:val="null3"/>
        <w:jc w:val="both"/>
      </w:pPr>
      <w:r>
        <w:rPr>
          <w:sz w:val="21"/>
          <w:color w:val="000000"/>
        </w:rPr>
        <w:t>4</w:t>
      </w:r>
      <w:r>
        <w:rPr>
          <w:sz w:val="21"/>
          <w:color w:val="000000"/>
        </w:rPr>
        <w:t>、负责与本服务项目有关的第三方协调，提供开展服务工作的外部条件；</w:t>
      </w:r>
    </w:p>
    <w:p>
      <w:pPr>
        <w:pStyle w:val="null3"/>
        <w:jc w:val="both"/>
      </w:pPr>
      <w:r>
        <w:rPr>
          <w:sz w:val="21"/>
          <w:color w:val="000000"/>
        </w:rPr>
        <w:t>5</w:t>
      </w:r>
      <w:r>
        <w:rPr>
          <w:sz w:val="21"/>
          <w:color w:val="000000"/>
        </w:rPr>
        <w:t>、甲方有权对乙方服务进行评价考核，在实施过程中有权对乙方的项目实施进行监督或抽查，对不称职的乙方人员要求乙方进行调整；</w:t>
      </w:r>
    </w:p>
    <w:p>
      <w:pPr>
        <w:pStyle w:val="null3"/>
        <w:jc w:val="both"/>
      </w:pPr>
      <w:r>
        <w:rPr>
          <w:sz w:val="21"/>
          <w:color w:val="000000"/>
        </w:rPr>
        <w:t>6</w:t>
      </w:r>
      <w:r>
        <w:rPr>
          <w:sz w:val="21"/>
          <w:color w:val="000000"/>
        </w:rPr>
        <w:t>、按本合同约定的付款方式付款给乙方。</w:t>
      </w:r>
    </w:p>
    <w:p>
      <w:pPr>
        <w:pStyle w:val="null3"/>
        <w:jc w:val="both"/>
      </w:pPr>
      <w:r>
        <w:rPr>
          <w:sz w:val="21"/>
          <w:b/>
          <w:color w:val="000000"/>
        </w:rPr>
        <w:t>（二）乙方的权利和义务</w:t>
      </w:r>
    </w:p>
    <w:p>
      <w:pPr>
        <w:pStyle w:val="null3"/>
        <w:jc w:val="both"/>
      </w:pPr>
      <w:r>
        <w:rPr>
          <w:sz w:val="21"/>
          <w:color w:val="000000"/>
        </w:rPr>
        <w:t>1</w:t>
      </w:r>
      <w:r>
        <w:rPr>
          <w:sz w:val="21"/>
          <w:color w:val="000000"/>
        </w:rPr>
        <w:t>、按合同约定的内容、期限和质量提供服务内容并完成项目任务；</w:t>
      </w:r>
    </w:p>
    <w:p>
      <w:pPr>
        <w:pStyle w:val="null3"/>
        <w:jc w:val="both"/>
      </w:pPr>
      <w:r>
        <w:rPr>
          <w:sz w:val="21"/>
          <w:color w:val="000000"/>
        </w:rPr>
        <w:t>2</w:t>
      </w:r>
      <w:r>
        <w:rPr>
          <w:sz w:val="21"/>
          <w:color w:val="000000"/>
        </w:rPr>
        <w:t>、按合同约定的方式和数量向甲方提交成果；</w:t>
      </w:r>
    </w:p>
    <w:p>
      <w:pPr>
        <w:pStyle w:val="null3"/>
        <w:jc w:val="both"/>
      </w:pPr>
      <w:r>
        <w:rPr>
          <w:sz w:val="21"/>
          <w:color w:val="000000"/>
        </w:rPr>
        <w:t>3</w:t>
      </w:r>
      <w:r>
        <w:rPr>
          <w:sz w:val="21"/>
          <w:color w:val="000000"/>
        </w:rPr>
        <w:t>、乙方在执行合同过程中应定期向甲方汇报各阶段工作进度和研究甲方要求协助的问题；</w:t>
      </w:r>
    </w:p>
    <w:p>
      <w:pPr>
        <w:pStyle w:val="null3"/>
        <w:jc w:val="both"/>
      </w:pPr>
      <w:r>
        <w:rPr>
          <w:sz w:val="21"/>
          <w:color w:val="000000"/>
        </w:rPr>
        <w:t>4</w:t>
      </w:r>
      <w:r>
        <w:rPr>
          <w:sz w:val="21"/>
          <w:color w:val="000000"/>
        </w:rPr>
        <w:t>、乙方应负责本次项目的安全生产管理责任，并负责保障自身工作人员人身、财产安全，对因乙方原因造成的任何人身、财产损失（含第三方人身、财产损失）的，均由乙方全部负责赔偿或补偿责任，与甲方无关；</w:t>
      </w:r>
    </w:p>
    <w:p>
      <w:pPr>
        <w:pStyle w:val="null3"/>
        <w:jc w:val="both"/>
      </w:pPr>
      <w:r>
        <w:rPr>
          <w:sz w:val="21"/>
          <w:color w:val="000000"/>
        </w:rPr>
        <w:t>5</w:t>
      </w:r>
      <w:r>
        <w:rPr>
          <w:sz w:val="21"/>
          <w:color w:val="000000"/>
        </w:rPr>
        <w:t>、按国家有关规定向甲方开具合格、有效的收款发票。</w:t>
      </w:r>
    </w:p>
    <w:p>
      <w:pPr>
        <w:pStyle w:val="null3"/>
        <w:jc w:val="both"/>
      </w:pPr>
      <w:r>
        <w:rPr>
          <w:sz w:val="24"/>
          <w:b/>
          <w:color w:val="000000"/>
        </w:rPr>
        <w:t>七、履约条款</w:t>
      </w:r>
    </w:p>
    <w:p>
      <w:pPr>
        <w:pStyle w:val="null3"/>
        <w:jc w:val="both"/>
      </w:pPr>
      <w:r>
        <w:rPr>
          <w:sz w:val="21"/>
          <w:color w:val="000000"/>
        </w:rPr>
        <w:t>1</w:t>
      </w:r>
      <w:r>
        <w:rPr>
          <w:sz w:val="21"/>
          <w:color w:val="000000"/>
        </w:rPr>
        <w:t>、履约期限：自合同签订之日起2年，分三个阶段：</w:t>
      </w:r>
    </w:p>
    <w:p>
      <w:pPr>
        <w:pStyle w:val="null3"/>
        <w:ind w:firstLine="420"/>
        <w:jc w:val="both"/>
      </w:pPr>
      <w:r>
        <w:rPr>
          <w:sz w:val="21"/>
          <w:color w:val="000000"/>
        </w:rPr>
        <w:t>第一阶段：完成《孙中山故里旅游区提升规划设计项目》初步成果（2个月）。</w:t>
      </w:r>
    </w:p>
    <w:p>
      <w:pPr>
        <w:pStyle w:val="null3"/>
        <w:ind w:firstLine="420"/>
        <w:jc w:val="both"/>
      </w:pPr>
      <w:r>
        <w:rPr>
          <w:sz w:val="21"/>
          <w:color w:val="000000"/>
        </w:rPr>
        <w:t>第二阶段：完成《孙中山故里旅游区提升规划设计项目》最终成果（4个月）。</w:t>
      </w:r>
    </w:p>
    <w:p>
      <w:pPr>
        <w:pStyle w:val="null3"/>
        <w:ind w:firstLine="420"/>
        <w:jc w:val="both"/>
      </w:pPr>
      <w:r>
        <w:rPr>
          <w:sz w:val="21"/>
          <w:color w:val="000000"/>
        </w:rPr>
        <w:t>第三阶段：推进落地相关顾问服务（1年6个月）。</w:t>
      </w:r>
    </w:p>
    <w:p>
      <w:pPr>
        <w:pStyle w:val="null3"/>
        <w:jc w:val="both"/>
      </w:pPr>
      <w:r>
        <w:rPr>
          <w:sz w:val="21"/>
          <w:color w:val="000000"/>
        </w:rPr>
        <w:t>2</w:t>
      </w:r>
      <w:r>
        <w:rPr>
          <w:sz w:val="21"/>
          <w:color w:val="000000"/>
        </w:rPr>
        <w:t>、履约地点：甲方</w:t>
      </w:r>
      <w:r>
        <w:rPr>
          <w:sz w:val="21"/>
        </w:rPr>
        <w:t>指定地点。</w:t>
      </w:r>
    </w:p>
    <w:p>
      <w:pPr>
        <w:pStyle w:val="null3"/>
        <w:jc w:val="both"/>
      </w:pPr>
      <w:r>
        <w:rPr>
          <w:sz w:val="24"/>
          <w:b/>
          <w:color w:val="000000"/>
        </w:rPr>
        <w:t>八、违约责任</w:t>
      </w:r>
    </w:p>
    <w:p>
      <w:pPr>
        <w:pStyle w:val="null3"/>
        <w:ind w:firstLine="420"/>
        <w:jc w:val="both"/>
      </w:pPr>
      <w:r>
        <w:rPr>
          <w:sz w:val="21"/>
          <w:color w:val="000000"/>
        </w:rPr>
        <w:t>1</w:t>
      </w:r>
      <w:r>
        <w:rPr>
          <w:sz w:val="21"/>
          <w:color w:val="000000"/>
        </w:rPr>
        <w:t>、合同生效后，合同各方应严格遵守合同的条款，全面履行合同约定的义务，任何一方不得擅自变更或解除合同。甲、乙双方的任何一方不履行合同或履行合同义务不符合约定的条件，即属违约。当一方违约时，违约方应向另一方支付合同价款总额的10%作为违约金，并且负责赔偿因其违约给另一方造成相应损失。</w:t>
      </w:r>
    </w:p>
    <w:p>
      <w:pPr>
        <w:pStyle w:val="null3"/>
        <w:ind w:firstLine="420"/>
        <w:jc w:val="both"/>
      </w:pPr>
      <w:r>
        <w:rPr>
          <w:sz w:val="21"/>
          <w:color w:val="000000"/>
        </w:rPr>
        <w:t>2、验收时如发现服务内容不符合合同约定、项目需求、甲方要求或法律规定之情形，甲方有权要求乙方限期整改，相关费用由乙方承担。如乙方拒绝整改、整改后仍不合格或限期内无法完成整改的，甲方有权要求乙方承担相应的违约责任。</w:t>
      </w:r>
    </w:p>
    <w:p>
      <w:pPr>
        <w:pStyle w:val="null3"/>
        <w:jc w:val="both"/>
      </w:pPr>
      <w:r>
        <w:rPr>
          <w:sz w:val="24"/>
          <w:b/>
          <w:color w:val="000000"/>
        </w:rPr>
        <w:t>九、争端的解决</w:t>
      </w:r>
    </w:p>
    <w:p>
      <w:pPr>
        <w:pStyle w:val="null3"/>
        <w:ind w:firstLine="420"/>
        <w:jc w:val="both"/>
      </w:pPr>
      <w:r>
        <w:rPr>
          <w:sz w:val="21"/>
          <w:color w:val="000000"/>
        </w:rPr>
        <w:t>1</w:t>
      </w:r>
      <w:r>
        <w:rPr>
          <w:sz w:val="21"/>
          <w:color w:val="000000"/>
        </w:rPr>
        <w:t>、凡与本合同有关而引起的一切争议，甲乙双方应首先通过友好协商解决，如经协商后仍不能达成协议时，任何一方可向甲方所在地有管辖权法院起诉解决。</w:t>
      </w:r>
    </w:p>
    <w:p>
      <w:pPr>
        <w:pStyle w:val="null3"/>
        <w:ind w:firstLine="420"/>
        <w:jc w:val="both"/>
      </w:pPr>
      <w:r>
        <w:rPr>
          <w:sz w:val="21"/>
          <w:color w:val="000000"/>
        </w:rPr>
        <w:t>2</w:t>
      </w:r>
      <w:r>
        <w:rPr>
          <w:sz w:val="21"/>
          <w:color w:val="000000"/>
        </w:rPr>
        <w:t>、在进行法院审理期间，除提交法院审理的事项外，合同其他部分仍应继续履行。</w:t>
      </w:r>
    </w:p>
    <w:p>
      <w:pPr>
        <w:pStyle w:val="null3"/>
        <w:ind w:firstLine="420"/>
        <w:jc w:val="both"/>
      </w:pPr>
      <w:r>
        <w:rPr>
          <w:sz w:val="21"/>
          <w:color w:val="000000"/>
        </w:rPr>
        <w:t>3</w:t>
      </w:r>
      <w:r>
        <w:rPr>
          <w:sz w:val="21"/>
          <w:color w:val="000000"/>
        </w:rPr>
        <w:t>、本合同按照中华人民共和国的法律进行解释。</w:t>
      </w:r>
    </w:p>
    <w:p>
      <w:pPr>
        <w:pStyle w:val="null3"/>
        <w:jc w:val="both"/>
      </w:pPr>
      <w:r>
        <w:rPr>
          <w:sz w:val="24"/>
          <w:b/>
          <w:color w:val="000000"/>
        </w:rPr>
        <w:t>十、不可抗力</w:t>
      </w:r>
    </w:p>
    <w:p>
      <w:pPr>
        <w:pStyle w:val="null3"/>
        <w:ind w:firstLine="420"/>
        <w:jc w:val="both"/>
      </w:pPr>
      <w:r>
        <w:rPr>
          <w:sz w:val="21"/>
          <w:color w:val="000000"/>
        </w:rPr>
        <w:t>1</w:t>
      </w:r>
      <w:r>
        <w:rPr>
          <w:sz w:val="21"/>
          <w:color w:val="000000"/>
        </w:rPr>
        <w:t>、由于一般公认的人力不可抗拒的原因造成不可意料的事故而不能执行本合同时，乙方应立即以书面形式通告甲方，证明事故的存在。</w:t>
      </w:r>
    </w:p>
    <w:p>
      <w:pPr>
        <w:pStyle w:val="null3"/>
        <w:ind w:firstLine="420"/>
        <w:jc w:val="both"/>
      </w:pPr>
      <w:r>
        <w:rPr>
          <w:sz w:val="21"/>
          <w:color w:val="000000"/>
        </w:rPr>
        <w:t>2</w:t>
      </w:r>
      <w:r>
        <w:rPr>
          <w:sz w:val="21"/>
          <w:color w:val="000000"/>
        </w:rPr>
        <w:t>、在不可抗力事件发生后,双方应努力寻求采取合理的方案履行不受不可抗力影响的其他事项。如人力不可抗拒因素继续存在，影响持续15天以上，双方应通过友好协商在合理的时间内达成进一步履行合同的协议或解除合同。</w:t>
      </w:r>
    </w:p>
    <w:p>
      <w:pPr>
        <w:pStyle w:val="null3"/>
        <w:jc w:val="both"/>
      </w:pPr>
      <w:r>
        <w:rPr>
          <w:sz w:val="24"/>
          <w:b/>
          <w:color w:val="000000"/>
        </w:rPr>
        <w:t>十一、知识产权</w:t>
      </w:r>
    </w:p>
    <w:p>
      <w:pPr>
        <w:pStyle w:val="null3"/>
        <w:ind w:firstLine="420"/>
        <w:jc w:val="both"/>
      </w:pPr>
      <w:r>
        <w:rPr>
          <w:sz w:val="21"/>
          <w:color w:val="000000"/>
        </w:rPr>
        <w:t>1</w:t>
      </w:r>
      <w:r>
        <w:rPr>
          <w:sz w:val="21"/>
          <w:color w:val="000000"/>
        </w:rPr>
        <w:t>、本合同项目成果的知识产权归甲方所有，乙方未经甲方书面同意不得引用、发表或向任何第三方提供与本项目成果相关的咨询报告。</w:t>
      </w:r>
    </w:p>
    <w:p>
      <w:pPr>
        <w:pStyle w:val="null3"/>
        <w:ind w:firstLine="420"/>
        <w:jc w:val="both"/>
      </w:pPr>
      <w:r>
        <w:rPr>
          <w:sz w:val="21"/>
          <w:color w:val="000000"/>
        </w:rPr>
        <w:t>2</w:t>
      </w:r>
      <w:r>
        <w:rPr>
          <w:sz w:val="21"/>
          <w:color w:val="000000"/>
        </w:rPr>
        <w:t>、甲方有权在成果审定后公开展示，并通过传播、媒介、专业杂志、书刊及其他形式介绍、展示、评价报告成果。</w:t>
      </w:r>
    </w:p>
    <w:p>
      <w:pPr>
        <w:pStyle w:val="null3"/>
        <w:ind w:firstLine="420"/>
        <w:jc w:val="both"/>
      </w:pPr>
      <w:r>
        <w:rPr>
          <w:sz w:val="21"/>
          <w:color w:val="000000"/>
        </w:rPr>
        <w:t>3</w:t>
      </w:r>
      <w:r>
        <w:rPr>
          <w:sz w:val="21"/>
          <w:color w:val="000000"/>
        </w:rPr>
        <w:t>、乙方应保证本项目的技术、服务、设计成果或其任何一部分不会产生因第三方提出侵犯其专利权、商标权或其他知识产权而引起的任何纠纷；如因第三方提出其专利权、商标权或其他知识产权的侵权之诉，则一切法律责任由乙方承担。</w:t>
      </w:r>
    </w:p>
    <w:p>
      <w:pPr>
        <w:pStyle w:val="null3"/>
        <w:ind w:firstLine="420"/>
        <w:jc w:val="both"/>
      </w:pPr>
      <w:r>
        <w:rPr>
          <w:sz w:val="21"/>
          <w:color w:val="000000"/>
        </w:rPr>
        <w:t>4</w:t>
      </w:r>
      <w:r>
        <w:rPr>
          <w:sz w:val="21"/>
          <w:color w:val="000000"/>
        </w:rPr>
        <w:t>、甲方引用本工作成果所完成的新技术成果，属甲方所有，甲方可依法享有该项技术成果知识产权。</w:t>
      </w:r>
    </w:p>
    <w:p>
      <w:pPr>
        <w:pStyle w:val="null3"/>
        <w:jc w:val="both"/>
      </w:pPr>
      <w:r>
        <w:rPr>
          <w:sz w:val="24"/>
          <w:b/>
          <w:color w:val="000000"/>
        </w:rPr>
        <w:t>十二、涉密保密及成果归属</w:t>
      </w:r>
    </w:p>
    <w:p>
      <w:pPr>
        <w:pStyle w:val="null3"/>
        <w:jc w:val="both"/>
      </w:pPr>
      <w:r>
        <w:rPr>
          <w:sz w:val="24"/>
          <w:b/>
          <w:color w:val="000000"/>
        </w:rPr>
        <w:t>（一）涉密保密</w:t>
      </w:r>
    </w:p>
    <w:p>
      <w:pPr>
        <w:pStyle w:val="null3"/>
        <w:ind w:firstLine="420"/>
        <w:jc w:val="both"/>
      </w:pPr>
      <w:r>
        <w:rPr>
          <w:sz w:val="21"/>
          <w:color w:val="000000"/>
        </w:rPr>
        <w:t>1</w:t>
      </w:r>
      <w:r>
        <w:rPr>
          <w:sz w:val="21"/>
          <w:color w:val="000000"/>
        </w:rPr>
        <w:t>、乙方保证对在谈判、签订、执行本协议过程中所获悉的属于无法自公开渠道获得的文件及资料（包括国家秘密、商业秘密、工作秘密、计划、运营活动、财务信息、技术信息、经营信息及其他有关信息）予以保密。未经甲方书面许可，乙方不得向第三方提供或披露与本合同项目有关的资料和信息，亦不得将为甲方提供服务过程中所知悉的信息、资料、文件挪作他用，且保密责任不因合同的终止或解除或一方违约而失效，将长期有效。如甲方提出要求，乙方须无条件与甲方签订保密协议。</w:t>
      </w:r>
    </w:p>
    <w:p>
      <w:pPr>
        <w:pStyle w:val="null3"/>
        <w:ind w:firstLine="420"/>
        <w:jc w:val="both"/>
      </w:pPr>
      <w:r>
        <w:rPr>
          <w:sz w:val="21"/>
          <w:color w:val="000000"/>
        </w:rPr>
        <w:t>2</w:t>
      </w:r>
      <w:r>
        <w:rPr>
          <w:sz w:val="21"/>
          <w:color w:val="000000"/>
        </w:rPr>
        <w:t>、如因乙方单方将本合同涉及到的相关文件资料泄露或者向第三人转让，挪作他用的，将承担项目总价款10%的违约金并将根据情节轻重追究相应责任。</w:t>
      </w:r>
    </w:p>
    <w:p>
      <w:pPr>
        <w:pStyle w:val="null3"/>
        <w:ind w:firstLine="420"/>
        <w:jc w:val="both"/>
      </w:pPr>
      <w:r>
        <w:rPr>
          <w:sz w:val="21"/>
          <w:color w:val="000000"/>
        </w:rPr>
        <w:t>3</w:t>
      </w:r>
      <w:r>
        <w:rPr>
          <w:sz w:val="21"/>
          <w:color w:val="000000"/>
        </w:rPr>
        <w:t>、保密期限自保密资料提供或披露之日起持续有效，不因合同的终止、解除、一方的违约而失效。</w:t>
      </w:r>
    </w:p>
    <w:p>
      <w:pPr>
        <w:pStyle w:val="null3"/>
        <w:ind w:firstLine="420"/>
        <w:jc w:val="both"/>
      </w:pPr>
      <w:r>
        <w:rPr>
          <w:sz w:val="24"/>
          <w:b/>
          <w:color w:val="000000"/>
        </w:rPr>
        <w:t>（二）</w:t>
      </w:r>
      <w:r>
        <w:rPr>
          <w:sz w:val="24"/>
          <w:b/>
          <w:color w:val="000000"/>
        </w:rPr>
        <w:t>成果归属</w:t>
      </w:r>
    </w:p>
    <w:p>
      <w:pPr>
        <w:pStyle w:val="null3"/>
        <w:ind w:firstLine="420"/>
        <w:jc w:val="both"/>
      </w:pPr>
      <w:r>
        <w:rPr>
          <w:sz w:val="21"/>
        </w:rPr>
        <w:t>1</w:t>
      </w:r>
      <w:r>
        <w:rPr>
          <w:sz w:val="21"/>
        </w:rPr>
        <w:t>、本项目的所有中间成果、最终成果以及甲方提供的资料，其所有权均属甲方，未经甲方同意，乙方不得外泄，否则甲方有权追究乙方的责任。</w:t>
      </w:r>
    </w:p>
    <w:p>
      <w:pPr>
        <w:pStyle w:val="null3"/>
        <w:jc w:val="both"/>
      </w:pPr>
      <w:r>
        <w:rPr>
          <w:sz w:val="24"/>
          <w:b/>
          <w:color w:val="000000"/>
        </w:rPr>
        <w:t>十三、税和关税</w:t>
      </w:r>
    </w:p>
    <w:p>
      <w:pPr>
        <w:pStyle w:val="null3"/>
        <w:ind w:firstLine="420"/>
        <w:jc w:val="both"/>
      </w:pPr>
      <w:r>
        <w:rPr>
          <w:sz w:val="21"/>
          <w:color w:val="000000"/>
        </w:rPr>
        <w:t>1</w:t>
      </w:r>
      <w:r>
        <w:rPr>
          <w:sz w:val="21"/>
          <w:color w:val="000000"/>
        </w:rPr>
        <w:t>、中国政府根据现行税法对甲方征收的与本合同有关的一切税费均应由甲方负担。</w:t>
      </w:r>
    </w:p>
    <w:p>
      <w:pPr>
        <w:pStyle w:val="null3"/>
        <w:ind w:firstLine="420"/>
        <w:jc w:val="both"/>
      </w:pPr>
      <w:r>
        <w:rPr>
          <w:sz w:val="21"/>
          <w:color w:val="000000"/>
        </w:rPr>
        <w:t>2</w:t>
      </w:r>
      <w:r>
        <w:rPr>
          <w:sz w:val="21"/>
          <w:color w:val="000000"/>
        </w:rPr>
        <w:t>、中国政府根据现行的税法规定对乙方或其雇员征收的与本合同有关的一切税费（包括但不限于产品的进口关税、所有产品的国内增值税）均应由乙方负担。</w:t>
      </w:r>
    </w:p>
    <w:p>
      <w:pPr>
        <w:pStyle w:val="null3"/>
        <w:ind w:firstLine="420"/>
        <w:jc w:val="both"/>
      </w:pPr>
      <w:r>
        <w:rPr>
          <w:sz w:val="21"/>
          <w:color w:val="000000"/>
        </w:rPr>
        <w:t>3</w:t>
      </w:r>
      <w:r>
        <w:rPr>
          <w:sz w:val="21"/>
          <w:color w:val="000000"/>
        </w:rPr>
        <w:t>、在中国境外发生的与本合同执行有关的一切税费均应由乙方负担。</w:t>
      </w:r>
    </w:p>
    <w:p>
      <w:pPr>
        <w:pStyle w:val="null3"/>
        <w:spacing w:after="120"/>
        <w:ind w:left="420"/>
        <w:jc w:val="both"/>
      </w:pPr>
      <w:r>
        <w:rPr>
          <w:sz w:val="24"/>
          <w:b/>
          <w:color w:val="000000"/>
        </w:rPr>
        <w:t>十四、合同生效</w:t>
      </w:r>
    </w:p>
    <w:p>
      <w:pPr>
        <w:pStyle w:val="null3"/>
        <w:jc w:val="both"/>
      </w:pPr>
      <w:r>
        <w:rPr>
          <w:sz w:val="21"/>
        </w:rPr>
        <w:t xml:space="preserve">    </w:t>
      </w:r>
      <w:r>
        <w:rPr>
          <w:sz w:val="21"/>
          <w:color w:val="000000"/>
        </w:rPr>
        <w:t>本合同</w:t>
      </w:r>
      <w:r>
        <w:rPr>
          <w:sz w:val="21"/>
          <w:color w:val="000000"/>
        </w:rPr>
        <w:t>经双方</w:t>
      </w:r>
      <w:r>
        <w:rPr>
          <w:sz w:val="21"/>
          <w:color w:val="000000"/>
        </w:rPr>
        <w:t>授权代表</w:t>
      </w:r>
      <w:r>
        <w:rPr>
          <w:sz w:val="21"/>
          <w:color w:val="000000"/>
        </w:rPr>
        <w:t>签字盖章后</w:t>
      </w:r>
      <w:r>
        <w:rPr>
          <w:sz w:val="21"/>
          <w:color w:val="000000"/>
        </w:rPr>
        <w:t>生效。</w:t>
      </w:r>
    </w:p>
    <w:p>
      <w:pPr>
        <w:pStyle w:val="null3"/>
        <w:jc w:val="both"/>
      </w:pPr>
      <w:r>
        <w:rPr>
          <w:sz w:val="24"/>
          <w:b/>
          <w:color w:val="000000"/>
        </w:rPr>
        <w:t>十五、其它</w:t>
      </w:r>
    </w:p>
    <w:p>
      <w:pPr>
        <w:pStyle w:val="null3"/>
        <w:ind w:firstLine="420"/>
        <w:jc w:val="both"/>
      </w:pPr>
      <w:r>
        <w:rPr>
          <w:sz w:val="21"/>
          <w:color w:val="000000"/>
        </w:rPr>
        <w:t>1</w:t>
      </w:r>
      <w:r>
        <w:rPr>
          <w:sz w:val="21"/>
          <w:color w:val="000000"/>
        </w:rPr>
        <w:t>、本合同之所有附件均为合同的有效组成部分，与本合同具有同样法律效力。合同与附件之间内容应认为是互为补充和解释，但如有模棱两可或相互矛盾之处，以时间在后的文件为准。</w:t>
      </w:r>
    </w:p>
    <w:p>
      <w:pPr>
        <w:pStyle w:val="null3"/>
        <w:ind w:firstLine="420"/>
        <w:jc w:val="both"/>
      </w:pPr>
      <w:r>
        <w:rPr>
          <w:sz w:val="21"/>
          <w:color w:val="000000"/>
        </w:rPr>
        <w:t>2</w:t>
      </w:r>
      <w:r>
        <w:rPr>
          <w:sz w:val="21"/>
          <w:color w:val="000000"/>
        </w:rPr>
        <w:t>、在执行本合同的过程中，乙方需遵守所有经甲乙双方签署确认的文件（包括会议纪要、补充协议、往来信函）即成为本合同的有效组成部分，其生效日期为双方签字盖章或确认之日期。</w:t>
      </w:r>
    </w:p>
    <w:p>
      <w:pPr>
        <w:pStyle w:val="null3"/>
        <w:ind w:firstLine="420"/>
        <w:jc w:val="both"/>
      </w:pPr>
      <w:r>
        <w:rPr>
          <w:sz w:val="21"/>
          <w:color w:val="000000"/>
        </w:rPr>
        <w:t>3</w:t>
      </w:r>
      <w:r>
        <w:rPr>
          <w:sz w:val="21"/>
          <w:color w:val="000000"/>
        </w:rPr>
        <w:t>、除甲方事先书面同意外，乙方不得部分或全部转让其应履行的合同项下的义务。</w:t>
      </w:r>
    </w:p>
    <w:p>
      <w:pPr>
        <w:pStyle w:val="null3"/>
        <w:ind w:firstLine="422"/>
        <w:jc w:val="both"/>
      </w:pPr>
      <w:r>
        <w:rPr>
          <w:sz w:val="21"/>
          <w:b/>
          <w:color w:val="000000"/>
        </w:rPr>
        <w:t>4</w:t>
      </w:r>
      <w:r>
        <w:rPr>
          <w:sz w:val="21"/>
          <w:b/>
          <w:color w:val="000000"/>
        </w:rPr>
        <w:t>、本合同正本一式</w:t>
      </w:r>
      <w:r>
        <w:rPr>
          <w:sz w:val="21"/>
          <w:b/>
          <w:color w:val="000000"/>
          <w:u w:val="single"/>
        </w:rPr>
        <w:t xml:space="preserve">   </w:t>
      </w:r>
      <w:r>
        <w:rPr>
          <w:sz w:val="21"/>
          <w:b/>
          <w:color w:val="000000"/>
        </w:rPr>
        <w:t>份，甲乙双方各执</w:t>
      </w:r>
      <w:r>
        <w:rPr>
          <w:sz w:val="21"/>
          <w:b/>
          <w:color w:val="000000"/>
          <w:u w:val="single"/>
        </w:rPr>
        <w:t xml:space="preserve">   </w:t>
      </w:r>
      <w:r>
        <w:rPr>
          <w:sz w:val="21"/>
          <w:b/>
          <w:color w:val="000000"/>
        </w:rPr>
        <w:t>份、广东志正招标有限公司中山分公司执一份。</w:t>
      </w:r>
    </w:p>
    <w:p>
      <w:pPr>
        <w:pStyle w:val="null3"/>
        <w:ind w:firstLine="420"/>
        <w:jc w:val="both"/>
      </w:pPr>
      <w:r>
        <w:rPr>
          <w:sz w:val="21"/>
          <w:color w:val="000000"/>
        </w:rPr>
        <w:t>5</w:t>
      </w:r>
      <w:r>
        <w:rPr>
          <w:sz w:val="21"/>
          <w:color w:val="000000"/>
        </w:rPr>
        <w:t>、本合同合计</w:t>
      </w:r>
      <w:r>
        <w:rPr>
          <w:sz w:val="21"/>
          <w:color w:val="000000"/>
          <w:u w:val="single"/>
        </w:rPr>
        <w:t xml:space="preserve">    </w:t>
      </w:r>
      <w:r>
        <w:rPr>
          <w:sz w:val="21"/>
          <w:color w:val="000000"/>
        </w:rPr>
        <w:t>页A4纸张，缺页之合同为无效合同。</w:t>
      </w:r>
    </w:p>
    <w:p>
      <w:pPr>
        <w:pStyle w:val="null3"/>
        <w:jc w:val="both"/>
      </w:pPr>
      <w:r>
        <w:rPr>
          <w:sz w:val="21"/>
          <w:color w:val="000000"/>
        </w:rPr>
        <w:t>甲方（盖章）：                                  乙方（盖章）：</w:t>
      </w:r>
    </w:p>
    <w:p>
      <w:pPr>
        <w:pStyle w:val="null3"/>
        <w:jc w:val="both"/>
      </w:pPr>
      <w:r>
        <w:rPr>
          <w:sz w:val="21"/>
          <w:color w:val="000000"/>
        </w:rPr>
        <w:t>甲方法定代表（签字）：                          乙方法定代表（签字）：</w:t>
      </w:r>
    </w:p>
    <w:p>
      <w:pPr>
        <w:pStyle w:val="null3"/>
        <w:jc w:val="both"/>
      </w:pPr>
      <w:r>
        <w:rPr>
          <w:sz w:val="21"/>
          <w:color w:val="000000"/>
        </w:rPr>
        <w:t>日    期：                                      日    期：</w:t>
      </w:r>
    </w:p>
    <w:p>
      <w:pPr>
        <w:pStyle w:val="null3"/>
        <w:jc w:val="both"/>
      </w:pPr>
      <w:r>
        <w:rPr>
          <w:sz w:val="21"/>
          <w:color w:val="000000"/>
        </w:rPr>
        <w:t>地    址：                                      地    址：</w:t>
      </w:r>
    </w:p>
    <w:p>
      <w:pPr>
        <w:pStyle w:val="null3"/>
        <w:jc w:val="both"/>
      </w:pPr>
      <w:r>
        <w:rPr>
          <w:sz w:val="21"/>
          <w:color w:val="000000"/>
        </w:rPr>
        <w:t>邮政编码：                                      邮政编码：</w:t>
      </w:r>
    </w:p>
    <w:p>
      <w:pPr>
        <w:pStyle w:val="null3"/>
        <w:jc w:val="both"/>
      </w:pPr>
      <w:r>
        <w:rPr>
          <w:sz w:val="21"/>
          <w:color w:val="000000"/>
        </w:rPr>
        <w:t>电    话：                                      电    话：</w:t>
      </w:r>
    </w:p>
    <w:p>
      <w:pPr>
        <w:pStyle w:val="null3"/>
        <w:jc w:val="both"/>
      </w:pPr>
      <w:r>
        <w:rPr>
          <w:sz w:val="21"/>
          <w:color w:val="000000"/>
        </w:rPr>
        <w:t>传    真：                                      传    真：</w:t>
      </w:r>
    </w:p>
    <w:p>
      <w:pPr>
        <w:pStyle w:val="null3"/>
        <w:jc w:val="both"/>
      </w:pPr>
      <w:r>
        <w:rPr>
          <w:sz w:val="21"/>
          <w:color w:val="000000"/>
        </w:rPr>
        <w:t xml:space="preserve">开户银行：                                      开户银行：                                    </w:t>
      </w:r>
    </w:p>
    <w:p>
      <w:pPr>
        <w:pStyle w:val="null3"/>
        <w:jc w:val="both"/>
      </w:pPr>
      <w:r>
        <w:rPr>
          <w:sz w:val="21"/>
          <w:color w:val="000000"/>
        </w:rPr>
        <w:t>开户账号：                                      开户账号：</w:t>
      </w:r>
    </w:p>
    <w:p>
      <w:pPr>
        <w:pStyle w:val="null3"/>
        <w:jc w:val="both"/>
      </w:pPr>
      <w:r>
        <w:rPr>
          <w:sz w:val="21"/>
          <w:b/>
          <w:color w:val="000000"/>
        </w:rPr>
        <w:t>备注</w:t>
      </w:r>
      <w:r>
        <w:rPr>
          <w:sz w:val="21"/>
          <w:color w:val="000000"/>
        </w:rPr>
        <w:t>：1. 本合同所有附件均在签订合同时编制，其编制依据是磋商文件中的要求和乙方的响应文件中的相应内容；</w:t>
      </w:r>
    </w:p>
    <w:p>
      <w:pPr>
        <w:pStyle w:val="null3"/>
        <w:jc w:val="both"/>
      </w:pPr>
      <w:r>
        <w:rPr>
          <w:sz w:val="21"/>
          <w:color w:val="000000"/>
        </w:rPr>
        <w:t xml:space="preserve">      2. </w:t>
      </w:r>
      <w:r>
        <w:rPr>
          <w:sz w:val="21"/>
          <w:color w:val="000000"/>
        </w:rPr>
        <w:t>合同附件的具体内容由双方在签订合同时确定。</w:t>
      </w:r>
    </w:p>
    <w:p>
      <w:pPr>
        <w:pStyle w:val="null3"/>
      </w:pPr>
      <w:r>
        <w:rPr>
          <w:sz w:val="20"/>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442000-2025-04901</w:t>
      </w:r>
    </w:p>
    <w:p>
      <w:pPr>
        <w:pStyle w:val="null3"/>
        <w:jc w:val="center"/>
        <w:outlineLvl w:val="3"/>
      </w:pPr>
      <w:r>
        <w:rPr>
          <w:sz w:val="24"/>
          <w:b/>
        </w:rPr>
        <w:t>采购项目编号：</w:t>
      </w:r>
      <w:r>
        <w:rPr>
          <w:sz w:val="24"/>
          <w:b/>
        </w:rPr>
        <w:t>ZZ22511138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广东志正招标有限公司中山分公司</w:t>
      </w:r>
    </w:p>
    <w:p>
      <w:pPr>
        <w:pStyle w:val="null3"/>
        <w:ind w:firstLine="480"/>
      </w:pPr>
      <w:r>
        <w:rPr/>
        <w:t xml:space="preserve"> 你方组织的</w:t>
      </w:r>
      <w:r>
        <w:rPr>
          <w:u w:val="single"/>
        </w:rPr>
        <w:t>“</w:t>
      </w:r>
      <w:r>
        <w:rPr>
          <w:u w:val="single"/>
        </w:rPr>
        <w:t>孙中山故里旅游区提升规划设计项目</w:t>
      </w:r>
      <w:r>
        <w:rPr>
          <w:u w:val="single"/>
        </w:rPr>
        <w:t>”</w:t>
      </w:r>
      <w:r>
        <w:rPr/>
        <w:t>项目的竞争性磋商[采购项目编号为：</w:t>
      </w:r>
      <w:r>
        <w:rPr>
          <w:u w:val="single"/>
        </w:rPr>
        <w:t>ZZ22511138</w:t>
      </w:r>
      <w:r>
        <w:rPr/>
        <w:t>]，我方愿参与响应。</w:t>
      </w:r>
    </w:p>
    <w:p>
      <w:pPr>
        <w:pStyle w:val="null3"/>
        <w:ind w:firstLine="480"/>
      </w:pPr>
      <w:r>
        <w:rPr/>
        <w:t>我方确认收到贵方提供的</w:t>
      </w:r>
      <w:r>
        <w:rPr>
          <w:u w:val="single"/>
        </w:rPr>
        <w:t>“</w:t>
      </w:r>
      <w:r>
        <w:rPr>
          <w:u w:val="single"/>
        </w:rPr>
        <w:t>孙中山故里旅游区提升规划设计项目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孙中山故里旅游区提升规划设计项目</w:t>
      </w:r>
      <w:r>
        <w:rPr/>
        <w:t>”项目采购[采购项目编号为</w:t>
      </w:r>
      <w:r>
        <w:rPr/>
        <w:t>ZZ22511138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中山市文化广电旅游局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广东志正招标有限公司中山分公司</w:t>
      </w:r>
    </w:p>
    <w:p>
      <w:pPr>
        <w:pStyle w:val="null3"/>
        <w:ind w:firstLine="480"/>
      </w:pPr>
      <w:r>
        <w:rPr/>
        <w:t>我单位参加贵公司组织的</w:t>
      </w:r>
      <w:r>
        <w:rPr/>
        <w:t>孙中山故里旅游区提升规划设计项目</w:t>
      </w:r>
      <w:r>
        <w:rPr/>
        <w:t>（采购项目编号：</w:t>
      </w:r>
      <w:r>
        <w:rPr/>
        <w:t>ZZ22511138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孙中山故里旅游区提升规划设计项目</w:t>
      </w:r>
      <w:r>
        <w:rPr/>
        <w:t>”项目（采购项目编号：</w:t>
      </w:r>
      <w:r>
        <w:rPr/>
        <w:t>ZZ22511138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