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color w:val="000000"/>
          <w:sz w:val="32"/>
          <w:szCs w:val="32"/>
        </w:rPr>
      </w:pPr>
      <w:r>
        <w:rPr>
          <w:rFonts w:hint="eastAsia" w:ascii="宋体" w:hAnsi="宋体"/>
          <w:b/>
          <w:color w:val="000000"/>
          <w:sz w:val="32"/>
          <w:szCs w:val="32"/>
        </w:rPr>
        <w:t>采购需求</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一、</w:t>
      </w:r>
      <w:r>
        <w:rPr>
          <w:rFonts w:hint="eastAsia" w:ascii="彩虹粗仿宋" w:hAnsi="宋体" w:eastAsia="彩虹粗仿宋" w:cs="Times New Roman"/>
          <w:snapToGrid w:val="0"/>
          <w:kern w:val="0"/>
          <w:sz w:val="30"/>
          <w:szCs w:val="30"/>
        </w:rPr>
        <w:t>服务内容</w:t>
      </w:r>
    </w:p>
    <w:p>
      <w:pPr>
        <w:spacing w:line="560" w:lineRule="atLeast"/>
        <w:ind w:firstLine="600" w:firstLineChars="200"/>
        <w:rPr>
          <w:rFonts w:ascii="彩虹粗仿宋" w:hAnsi="宋体" w:eastAsia="彩虹粗仿宋" w:cs="Times New Roman"/>
          <w:snapToGrid w:val="0"/>
          <w:kern w:val="0"/>
          <w:sz w:val="30"/>
          <w:szCs w:val="30"/>
        </w:rPr>
      </w:pPr>
      <w:r>
        <w:rPr>
          <w:rFonts w:hint="eastAsia" w:ascii="彩虹粗仿宋" w:hAnsi="宋体" w:eastAsia="彩虹粗仿宋"/>
          <w:sz w:val="30"/>
          <w:szCs w:val="30"/>
        </w:rPr>
        <w:t>采购人营业场所消防设施维护保养要求：消防系统安全正常地运行，促使该消防系统符合国家消防安全标准。</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（一）消防系统维修保养范围：</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1</w:t>
      </w:r>
      <w:r>
        <w:rPr>
          <w:rFonts w:ascii="彩虹粗仿宋" w:hAnsi="宋体" w:eastAsia="彩虹粗仿宋"/>
          <w:sz w:val="30"/>
          <w:szCs w:val="30"/>
        </w:rPr>
        <w:t>.</w:t>
      </w:r>
      <w:r>
        <w:rPr>
          <w:rFonts w:hint="eastAsia" w:ascii="彩虹粗仿宋" w:hAnsi="宋体" w:eastAsia="彩虹粗仿宋"/>
          <w:sz w:val="30"/>
          <w:szCs w:val="30"/>
        </w:rPr>
        <w:t>火灾自动报警系统；</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2</w:t>
      </w:r>
      <w:r>
        <w:rPr>
          <w:rFonts w:ascii="彩虹粗仿宋" w:hAnsi="宋体" w:eastAsia="彩虹粗仿宋"/>
          <w:sz w:val="30"/>
          <w:szCs w:val="30"/>
        </w:rPr>
        <w:t>.</w:t>
      </w:r>
      <w:r>
        <w:rPr>
          <w:rFonts w:hint="eastAsia" w:ascii="彩虹粗仿宋" w:hAnsi="宋体" w:eastAsia="彩虹粗仿宋"/>
          <w:sz w:val="30"/>
          <w:szCs w:val="30"/>
        </w:rPr>
        <w:t>消火栓系统；</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3</w:t>
      </w:r>
      <w:r>
        <w:rPr>
          <w:rFonts w:ascii="彩虹粗仿宋" w:hAnsi="宋体" w:eastAsia="彩虹粗仿宋"/>
          <w:sz w:val="30"/>
          <w:szCs w:val="30"/>
        </w:rPr>
        <w:t>.</w:t>
      </w:r>
      <w:r>
        <w:rPr>
          <w:rFonts w:hint="eastAsia" w:ascii="彩虹粗仿宋" w:hAnsi="宋体" w:eastAsia="彩虹粗仿宋"/>
          <w:sz w:val="30"/>
          <w:szCs w:val="30"/>
        </w:rPr>
        <w:t>自动喷淋灭火系统；</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4</w:t>
      </w:r>
      <w:r>
        <w:rPr>
          <w:rFonts w:ascii="彩虹粗仿宋" w:hAnsi="宋体" w:eastAsia="彩虹粗仿宋"/>
          <w:sz w:val="30"/>
          <w:szCs w:val="30"/>
        </w:rPr>
        <w:t>.</w:t>
      </w:r>
      <w:r>
        <w:rPr>
          <w:rFonts w:hint="eastAsia" w:ascii="彩虹粗仿宋" w:hAnsi="宋体" w:eastAsia="彩虹粗仿宋"/>
          <w:sz w:val="30"/>
          <w:szCs w:val="30"/>
        </w:rPr>
        <w:t>气体自动灭火系统；</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5</w:t>
      </w:r>
      <w:r>
        <w:rPr>
          <w:rFonts w:ascii="彩虹粗仿宋" w:hAnsi="宋体" w:eastAsia="彩虹粗仿宋"/>
          <w:sz w:val="30"/>
          <w:szCs w:val="30"/>
        </w:rPr>
        <w:t>.</w:t>
      </w:r>
      <w:r>
        <w:rPr>
          <w:rFonts w:hint="eastAsia" w:ascii="彩虹粗仿宋" w:hAnsi="宋体" w:eastAsia="彩虹粗仿宋"/>
          <w:sz w:val="30"/>
          <w:szCs w:val="30"/>
        </w:rPr>
        <w:t xml:space="preserve">消防送风排烟系统； </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6</w:t>
      </w:r>
      <w:r>
        <w:rPr>
          <w:rFonts w:ascii="彩虹粗仿宋" w:hAnsi="宋体" w:eastAsia="彩虹粗仿宋"/>
          <w:sz w:val="30"/>
          <w:szCs w:val="30"/>
        </w:rPr>
        <w:t>.</w:t>
      </w:r>
      <w:r>
        <w:rPr>
          <w:rFonts w:hint="eastAsia" w:ascii="彩虹粗仿宋" w:hAnsi="宋体" w:eastAsia="彩虹粗仿宋"/>
          <w:sz w:val="30"/>
          <w:szCs w:val="30"/>
        </w:rPr>
        <w:t>消防广播通信系统；</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7</w:t>
      </w:r>
      <w:r>
        <w:rPr>
          <w:rFonts w:ascii="彩虹粗仿宋" w:hAnsi="宋体" w:eastAsia="彩虹粗仿宋"/>
          <w:sz w:val="30"/>
          <w:szCs w:val="30"/>
        </w:rPr>
        <w:t>.</w:t>
      </w:r>
      <w:r>
        <w:rPr>
          <w:rFonts w:hint="eastAsia" w:ascii="彩虹粗仿宋" w:hAnsi="宋体" w:eastAsia="彩虹粗仿宋"/>
          <w:sz w:val="30"/>
          <w:szCs w:val="30"/>
        </w:rPr>
        <w:t>灭火器材及防毒面具。</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（二）消防系统维修保养内容：</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一）火灾自动报警系统(应急照明及疏散标志系统)</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1.入选供应商负责每月对维修保养范围内采购人下列设备进行巡查、检修、维护：</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（1）报警显示器、报警控制器功能；</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（2）感烟、感温外观是否清洁完好，随机抽取5%探测器的动作；</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（3）后备电源组、后备电源自动转换装置；</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（4）手动紧急报警按钮、消防警铃、喇叭；</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（5）应急灯照明，疏散标志；</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2. 入选供应商负责每季度对维修保养范围内的下列功能进行检测、检查和维修：</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（1）分期分批试验感烟、感温探测器的动作及确认灯显示；</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（2）试验火灾报警装置的声光显示；</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（3）对备用电源充放电试验；备用电源自动切换试验；</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（4）用自动或手动检查火灾事故广播及应急诱导灯；</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（5）检查手动报警按钮；用自动或手动检查应急诱导灯；</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点型感烟火灾探测器应根据产品说明书的要求定期</w:t>
      </w:r>
      <w:r>
        <w:rPr>
          <w:rFonts w:hint="eastAsia" w:ascii="彩虹粗仿宋" w:hAnsi="彩虹粗仿宋" w:eastAsia="彩虹粗仿宋" w:cs="彩虹粗仿宋"/>
          <w:sz w:val="30"/>
          <w:szCs w:val="30"/>
        </w:rPr>
        <w:t>清洗、标定；产品说明书没有明确要求的，应每二年清洗、标定一次。</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二）消火栓系统。</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1.</w:t>
      </w:r>
      <w:r>
        <w:rPr>
          <w:rFonts w:hint="eastAsia"/>
        </w:rPr>
        <w:t xml:space="preserve"> </w:t>
      </w:r>
      <w:r>
        <w:rPr>
          <w:rFonts w:hint="eastAsia" w:ascii="彩虹粗仿宋" w:hAnsi="宋体" w:eastAsia="彩虹粗仿宋"/>
          <w:sz w:val="30"/>
          <w:szCs w:val="30"/>
        </w:rPr>
        <w:t>入选供应商负责每月对维修保养范围内采购人的消火栓系统进行下列项目巡检及维护：</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（1）消火栓、水泵接合器、消防水带性能；</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（2）消火栓放水试验；启动性能检查；</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（3）消火栓箱及内置器材检查；</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（4）测试消火栓报警按钮报警状况；</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（5）消火栓泵运转联动检查。</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2.每季度进行一次全系统维护、检查；模拟火灾报警测试。</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三）自动喷淋灭火系统。</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1.</w:t>
      </w:r>
      <w:r>
        <w:rPr>
          <w:rFonts w:hint="eastAsia"/>
        </w:rPr>
        <w:t xml:space="preserve"> </w:t>
      </w:r>
      <w:r>
        <w:rPr>
          <w:rFonts w:hint="eastAsia" w:ascii="彩虹粗仿宋" w:hAnsi="宋体" w:eastAsia="彩虹粗仿宋"/>
          <w:sz w:val="30"/>
          <w:szCs w:val="30"/>
        </w:rPr>
        <w:t>入选供应商负责每月对维修保养范围内采购人的自动喷淋系统进行下列项目巡检及维护：</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（1）检查报警装置、水流指示器；</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（2）报警阀放水试验，启动性能检查；</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（3）喷淋泵运转联动检查。</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2.每季度进行一次全系统维护、检查；模拟火灾放水试验。</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四）气体自动灭火系统。</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1.</w:t>
      </w:r>
      <w:r>
        <w:rPr>
          <w:rFonts w:hint="eastAsia"/>
        </w:rPr>
        <w:t xml:space="preserve"> </w:t>
      </w:r>
      <w:r>
        <w:rPr>
          <w:rFonts w:hint="eastAsia" w:ascii="彩虹粗仿宋" w:hAnsi="宋体" w:eastAsia="彩虹粗仿宋"/>
          <w:sz w:val="30"/>
          <w:szCs w:val="30"/>
        </w:rPr>
        <w:t>入选供应商负责每个月对维修保养范围内采购人气体自动灭火系统进行下列设备检查、维护：</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（1）灭火剂贮容器、选择阀、液体单向阀、高压软管、集流管、阀门驱动装置、管网与喷嘴等；</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（2）检查灭火贮存器压力，气动驱动装置的气动源压力；</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（3）用手动或自动检查灭火系统控制设备。</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2.每季度对每个防护区进行一次模拟自动启动试验及联动控制试验。</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五）消防送风排烟系统。</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（1）检查送、排风机（风量、动压等参数）符合出厂要求。</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（2）检查送、排风机运转平稳，润滑良好。</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（3）检查各防火阀门自动、手动开闭灵活有效，机械开启、关闭、手柄复位灵活。</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六）消防广播通信系统。</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（1）检查对讲通话语音清楚，广播声响效果应符合原设计规范。</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（2）具有N±1分层广播功能。</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七）灭火器材及防毒面具。</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1.</w:t>
      </w:r>
      <w:r>
        <w:rPr>
          <w:rFonts w:hint="eastAsia"/>
        </w:rPr>
        <w:t xml:space="preserve"> </w:t>
      </w:r>
      <w:r>
        <w:rPr>
          <w:rFonts w:hint="eastAsia" w:ascii="彩虹粗仿宋" w:hAnsi="宋体" w:eastAsia="彩虹粗仿宋"/>
          <w:sz w:val="30"/>
          <w:szCs w:val="30"/>
        </w:rPr>
        <w:t>入选供应商负责每月对维修保养范围内采购人办公营业场所的灭火器材、防毒面具性能等情况进行下列项目抽查（抽查面不少于30%）、维护：</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（1）灭火贮存器压力、开关阀、橡皮软管、气压表、保险装置、管网与喷嘴、有效保质期等；</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（2）保养器材外观及规范摆置；</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2.每半年对维修保养范围内采购人办公营业场所是否保持每50平方米摆置不少于1支4公斤ABC干粉灭火器，是否保持办公场所工作人员数50%以上的比例配置防毒面具进行检查。</w:t>
      </w:r>
    </w:p>
    <w:p>
      <w:pPr>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3.每年第四季度对维修保养范围内采购人办公营业场所灭火器材、防毒面具进行一次全面维护检查。</w:t>
      </w:r>
    </w:p>
    <w:p>
      <w:pPr>
        <w:adjustRightInd w:val="0"/>
        <w:snapToGrid w:val="0"/>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（三）在维修保养期内，供应商必须根据采购人管理要求做好维护保养工作，应指定专人负责联系沟通，将指定的专门技术人员报采购人备案，并保证随叫随到。在白天（7：00   至 18：00）如采购人消防系统出现故障，采购人人员应及时通知供应商技术人员。供应商接到通知后，应派专业技术人员在6小时内赶到现场处理,故障</w:t>
      </w:r>
      <w:r>
        <w:rPr>
          <w:rFonts w:ascii="彩虹粗仿宋" w:hAnsi="宋体" w:eastAsia="彩虹粗仿宋"/>
          <w:sz w:val="30"/>
          <w:szCs w:val="30"/>
        </w:rPr>
        <w:t>2</w:t>
      </w:r>
      <w:r>
        <w:rPr>
          <w:rFonts w:hint="eastAsia" w:ascii="彩虹粗仿宋" w:hAnsi="宋体" w:eastAsia="彩虹粗仿宋"/>
          <w:sz w:val="30"/>
          <w:szCs w:val="30"/>
        </w:rPr>
        <w:t>天内修复，保障上述消防系统恢复正常工作。在夜间（18：00 至 7：00 ）发生设备一般报障的，可以由供应商用电话协助采购人值班管理人员排除故障，发生重大故障情况的，必须按规定时间到场处理。除不可抗力原因外，供应商接到通知后在规定时间内未到现场处理的，造成经济损失或安全责任由供应商负责。</w:t>
      </w:r>
    </w:p>
    <w:p>
      <w:pPr>
        <w:adjustRightInd w:val="0"/>
        <w:snapToGrid w:val="0"/>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四）供应商每月或每季度对采购人委托维护保养的消防设施系统、消防栓、消防器材等进行维护保养，并根据要求给消防栓贴制式封签，维修保养完毕后，技术员应在《维护保养记录单》上记录维护检查内容及结果签名确认，并经采购人管理人员签字确认。</w:t>
      </w:r>
    </w:p>
    <w:p>
      <w:pPr>
        <w:adjustRightInd w:val="0"/>
        <w:snapToGrid w:val="0"/>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五）在维修保养期间，供应商必须确保维修保养范围内采购人消防系统的正常、安全运转，同时确保该消防系统符合国家消防安全标准。在维修保养期间或维修保养期届满后，如因供应商维修保养工作不到位或维护不当而造成消防系统或其它系统出现问题发生故障或安全事故，供应商应负责修复并承担由此产生的费用，如造成采购人损失，供应商应承担赔偿责任。</w:t>
      </w:r>
    </w:p>
    <w:p>
      <w:pPr>
        <w:adjustRightInd w:val="0"/>
        <w:snapToGrid w:val="0"/>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（六）在维修保养期间，供应商技术人员每年不少于一次对采购人员工操作培训；如消防供水管道油漆退色锈蚀，供应商负责免费刷油漆防锈，油漆及工具由采购人提供。</w:t>
      </w:r>
    </w:p>
    <w:p>
      <w:pPr>
        <w:adjustRightInd w:val="0"/>
        <w:snapToGrid w:val="0"/>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（七）在维护保养检查过程中发现不能解决的问题，应及时向采购人安全保卫部门提交两份书面报告，详述问题所在的解决办法及修复日期。</w:t>
      </w:r>
    </w:p>
    <w:p>
      <w:pPr>
        <w:adjustRightInd w:val="0"/>
        <w:snapToGrid w:val="0"/>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八）消防维护保养项目实施前，先将负责采购人消防维护保养项目的人员组成名单及人员资格证书交采购人，经审查符合消防部门要求及谈判承诺，并登记备案后，才能进场工作；如在日常维护保养中，如发现维护保养人员履职不到位，采购人有权要求更换维护保养人员，直至达到要求为止。</w:t>
      </w:r>
    </w:p>
    <w:p>
      <w:pPr>
        <w:adjustRightInd w:val="0"/>
        <w:snapToGrid w:val="0"/>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w:t>
      </w:r>
      <w:r>
        <w:rPr>
          <w:rFonts w:ascii="彩虹粗仿宋" w:hAnsi="宋体" w:eastAsia="彩虹粗仿宋"/>
          <w:sz w:val="30"/>
          <w:szCs w:val="30"/>
        </w:rPr>
        <w:t>九）</w:t>
      </w:r>
      <w:r>
        <w:rPr>
          <w:rFonts w:hint="eastAsia" w:ascii="彩虹粗仿宋" w:hAnsi="宋体" w:eastAsia="彩虹粗仿宋"/>
          <w:sz w:val="30"/>
          <w:szCs w:val="30"/>
        </w:rPr>
        <w:t>在合同期内，如采购人营</w:t>
      </w:r>
      <w:r>
        <w:rPr>
          <w:rFonts w:ascii="彩虹粗仿宋" w:hAnsi="宋体" w:eastAsia="彩虹粗仿宋"/>
          <w:sz w:val="30"/>
          <w:szCs w:val="30"/>
        </w:rPr>
        <w:t>业网点</w:t>
      </w:r>
      <w:r>
        <w:rPr>
          <w:rFonts w:hint="eastAsia" w:ascii="彩虹粗仿宋" w:hAnsi="宋体" w:eastAsia="彩虹粗仿宋"/>
          <w:sz w:val="30"/>
          <w:szCs w:val="30"/>
        </w:rPr>
        <w:t>撤并或搬迁、消防系统全面更新改造的。供应商在自收到采购人撤并或搬迁、更新改造的停止或暂停维护保养书面通知前已</w:t>
      </w:r>
      <w:r>
        <w:rPr>
          <w:rFonts w:ascii="彩虹粗仿宋" w:hAnsi="宋体" w:eastAsia="彩虹粗仿宋"/>
          <w:sz w:val="30"/>
          <w:szCs w:val="30"/>
        </w:rPr>
        <w:t>进行维护</w:t>
      </w:r>
      <w:r>
        <w:rPr>
          <w:rFonts w:hint="eastAsia" w:ascii="彩虹粗仿宋" w:hAnsi="宋体" w:eastAsia="彩虹粗仿宋"/>
          <w:sz w:val="30"/>
          <w:szCs w:val="30"/>
        </w:rPr>
        <w:t>保养的凭《维护保养记录单》签名</w:t>
      </w:r>
      <w:r>
        <w:rPr>
          <w:rFonts w:ascii="彩虹粗仿宋" w:hAnsi="宋体" w:eastAsia="彩虹粗仿宋"/>
          <w:sz w:val="30"/>
          <w:szCs w:val="30"/>
        </w:rPr>
        <w:t>确认进行</w:t>
      </w:r>
      <w:r>
        <w:rPr>
          <w:rFonts w:hint="eastAsia" w:ascii="彩虹粗仿宋" w:hAnsi="宋体" w:eastAsia="彩虹粗仿宋"/>
          <w:sz w:val="30"/>
          <w:szCs w:val="30"/>
        </w:rPr>
        <w:t>结算消防维护保养费。</w:t>
      </w:r>
    </w:p>
    <w:p>
      <w:pPr>
        <w:adjustRightInd w:val="0"/>
        <w:snapToGrid w:val="0"/>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 xml:space="preserve">（十）采购人营业场所基本情况： </w:t>
      </w:r>
    </w:p>
    <w:tbl>
      <w:tblPr>
        <w:tblStyle w:val="4"/>
        <w:tblW w:w="8410" w:type="dxa"/>
        <w:tblInd w:w="-15" w:type="dxa"/>
        <w:tblLayout w:type="fixed"/>
        <w:tblCellMar>
          <w:top w:w="0" w:type="dxa"/>
          <w:left w:w="108" w:type="dxa"/>
          <w:bottom w:w="0" w:type="dxa"/>
          <w:right w:w="108" w:type="dxa"/>
        </w:tblCellMar>
      </w:tblPr>
      <w:tblGrid>
        <w:gridCol w:w="5"/>
        <w:gridCol w:w="493"/>
        <w:gridCol w:w="684"/>
        <w:gridCol w:w="2460"/>
        <w:gridCol w:w="2922"/>
        <w:gridCol w:w="1846"/>
      </w:tblGrid>
      <w:tr>
        <w:tblPrEx>
          <w:tblCellMar>
            <w:top w:w="0" w:type="dxa"/>
            <w:left w:w="108" w:type="dxa"/>
            <w:bottom w:w="0" w:type="dxa"/>
            <w:right w:w="108" w:type="dxa"/>
          </w:tblCellMar>
        </w:tblPrEx>
        <w:trPr>
          <w:gridBefore w:val="1"/>
          <w:gridAfter w:val="1"/>
          <w:wBefore w:w="5" w:type="dxa"/>
          <w:wAfter w:w="1846" w:type="dxa"/>
          <w:trHeight w:val="329" w:hRule="atLeast"/>
        </w:trPr>
        <w:tc>
          <w:tcPr>
            <w:tcW w:w="6559" w:type="dxa"/>
            <w:gridSpan w:val="4"/>
            <w:tcBorders>
              <w:top w:val="nil"/>
              <w:left w:val="nil"/>
              <w:bottom w:val="single" w:color="auto" w:sz="4" w:space="0"/>
              <w:right w:val="nil"/>
            </w:tcBorders>
            <w:shd w:val="clear" w:color="000000" w:fill="FFFFFF"/>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全辖区营业网点</w:t>
            </w:r>
          </w:p>
          <w:p>
            <w:pPr>
              <w:widowControl/>
              <w:jc w:val="center"/>
              <w:rPr>
                <w:rFonts w:ascii="宋体" w:hAnsi="宋体" w:eastAsia="宋体" w:cs="宋体"/>
                <w:b/>
                <w:bCs/>
                <w:kern w:val="0"/>
                <w:sz w:val="24"/>
                <w:szCs w:val="24"/>
              </w:rPr>
            </w:pPr>
          </w:p>
        </w:tc>
      </w:tr>
      <w:tr>
        <w:tblPrEx>
          <w:tblCellMar>
            <w:top w:w="0" w:type="dxa"/>
            <w:left w:w="108" w:type="dxa"/>
            <w:bottom w:w="0" w:type="dxa"/>
            <w:right w:w="108" w:type="dxa"/>
          </w:tblCellMar>
        </w:tblPrEx>
        <w:trPr>
          <w:trHeight w:val="1083"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lang w:bidi="ar"/>
              </w:rPr>
              <w:t>序号</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lang w:bidi="ar"/>
              </w:rPr>
              <w:t>区域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lang w:bidi="ar"/>
              </w:rPr>
              <w:t>网点名称</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lang w:bidi="ar"/>
              </w:rPr>
              <w:t>全辖区办公大楼</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揭阳市区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揭阳分行办公楼</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榕城区环市北路宏和大厦</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揭东支行办公楼（空）</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揭阳市揭东区曲溪金溪大道中段</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普宁市区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普宁支行办公楼</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普宁市流沙南平里39-40栋</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揭西县</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揭西支行办公楼（空）</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揭西县河婆镇霖都大道</w:t>
            </w:r>
          </w:p>
        </w:tc>
      </w:tr>
      <w:tr>
        <w:tblPrEx>
          <w:tblCellMar>
            <w:top w:w="0" w:type="dxa"/>
            <w:left w:w="108" w:type="dxa"/>
            <w:bottom w:w="0" w:type="dxa"/>
            <w:right w:w="108" w:type="dxa"/>
          </w:tblCellMar>
        </w:tblPrEx>
        <w:trPr>
          <w:trHeight w:val="550" w:hRule="atLeast"/>
        </w:trPr>
        <w:tc>
          <w:tcPr>
            <w:tcW w:w="8410" w:type="dxa"/>
            <w:gridSpan w:val="6"/>
            <w:tcBorders>
              <w:top w:val="nil"/>
              <w:left w:val="nil"/>
              <w:bottom w:val="nil"/>
              <w:right w:val="nil"/>
            </w:tcBorders>
            <w:shd w:val="clear" w:color="auto" w:fill="auto"/>
            <w:noWrap/>
            <w:vAlign w:val="center"/>
          </w:tcPr>
          <w:p>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lang w:bidi="ar"/>
              </w:rPr>
              <w:t>全辖区档案库</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揭西县</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揭西档案库</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揭西县河婆镇霖都大道</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揭阳市区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揭阳分行档案室</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揭阳市揭东区曲溪金溪大道中段一楼</w:t>
            </w:r>
          </w:p>
        </w:tc>
      </w:tr>
      <w:tr>
        <w:tblPrEx>
          <w:tblCellMar>
            <w:top w:w="0" w:type="dxa"/>
            <w:left w:w="108" w:type="dxa"/>
            <w:bottom w:w="0" w:type="dxa"/>
            <w:right w:w="108" w:type="dxa"/>
          </w:tblCellMar>
        </w:tblPrEx>
        <w:trPr>
          <w:trHeight w:val="550" w:hRule="atLeast"/>
        </w:trPr>
        <w:tc>
          <w:tcPr>
            <w:tcW w:w="8410" w:type="dxa"/>
            <w:gridSpan w:val="6"/>
            <w:tcBorders>
              <w:top w:val="nil"/>
              <w:left w:val="nil"/>
              <w:bottom w:val="nil"/>
              <w:right w:val="nil"/>
            </w:tcBorders>
            <w:shd w:val="clear" w:color="auto" w:fill="auto"/>
            <w:noWrap/>
            <w:vAlign w:val="center"/>
          </w:tcPr>
          <w:p>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lang w:bidi="ar"/>
              </w:rPr>
              <w:t>重点部位</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揭阳市区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揭阳分行监控指挥中心</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榕城区环市北路宏和大厦2楼</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揭阳分行中心金库</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揭阳市榕城区新河路以东临江北路以南东升办事处办公住宅楼B栋一层</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核心网络设备间</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榕城区环市北路宏和大厦</w:t>
            </w:r>
          </w:p>
        </w:tc>
      </w:tr>
      <w:tr>
        <w:tblPrEx>
          <w:tblCellMar>
            <w:top w:w="0" w:type="dxa"/>
            <w:left w:w="108" w:type="dxa"/>
            <w:bottom w:w="0" w:type="dxa"/>
            <w:right w:w="108" w:type="dxa"/>
          </w:tblCellMar>
        </w:tblPrEx>
        <w:trPr>
          <w:trHeight w:val="550" w:hRule="atLeast"/>
        </w:trPr>
        <w:tc>
          <w:tcPr>
            <w:tcW w:w="8410" w:type="dxa"/>
            <w:gridSpan w:val="6"/>
            <w:tcBorders>
              <w:top w:val="nil"/>
              <w:left w:val="nil"/>
              <w:bottom w:val="nil"/>
              <w:right w:val="nil"/>
            </w:tcBorders>
            <w:shd w:val="clear" w:color="auto" w:fill="auto"/>
            <w:noWrap/>
            <w:vAlign w:val="center"/>
          </w:tcPr>
          <w:p>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lang w:bidi="ar"/>
              </w:rPr>
              <w:t>全辖区营业网点</w:t>
            </w:r>
          </w:p>
        </w:tc>
      </w:tr>
      <w:tr>
        <w:tblPrEx>
          <w:tblCellMar>
            <w:top w:w="0" w:type="dxa"/>
            <w:left w:w="108" w:type="dxa"/>
            <w:bottom w:w="0" w:type="dxa"/>
            <w:right w:w="108" w:type="dxa"/>
          </w:tblCellMar>
        </w:tblPrEx>
        <w:trPr>
          <w:trHeight w:val="659"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揭阳市区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市分行营业部营业网点</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揭阳市区临江北路西段以东环市北河大桥南侧宏和大厦东附楼一楼</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玉都支行营业网点</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揭阳市蓝城区磐东街道阳美寨前</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华诚支行营业网点</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揭阳市区晓翠路南段西侧</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东城支行营业网点</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揭阳市榕城区建阳路中段金叶花园A座4-9号</w:t>
            </w:r>
          </w:p>
        </w:tc>
      </w:tr>
      <w:tr>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沿江路支行营业网点</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揭阳市东山建阳路以北晓翠路以西金城龙庭一期9-10号铺</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铁路支行营业网点</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szCs w:val="28"/>
              </w:rPr>
              <w:t>揭阳市榕城区淡浦路以东、临江北路以北博雅苑B区76号、7</w:t>
            </w:r>
            <w:r>
              <w:rPr>
                <w:rFonts w:ascii="宋体" w:hAnsi="宋体"/>
                <w:szCs w:val="28"/>
              </w:rPr>
              <w:t>7</w:t>
            </w:r>
            <w:r>
              <w:rPr>
                <w:rFonts w:hint="eastAsia" w:ascii="宋体" w:hAnsi="宋体"/>
                <w:szCs w:val="28"/>
              </w:rPr>
              <w:t>号、78号商铺的一层</w:t>
            </w:r>
            <w:r>
              <w:rPr>
                <w:rFonts w:hint="eastAsia" w:ascii="宋体" w:hAnsi="宋体"/>
                <w:szCs w:val="28"/>
              </w:rPr>
              <w:t>全部及</w:t>
            </w:r>
            <w:r>
              <w:rPr>
                <w:rFonts w:hint="eastAsia" w:ascii="宋体" w:hAnsi="宋体"/>
                <w:szCs w:val="28"/>
              </w:rPr>
              <w:t>76号商</w:t>
            </w:r>
            <w:r>
              <w:rPr>
                <w:rFonts w:hint="eastAsia" w:ascii="宋体" w:hAnsi="宋体"/>
                <w:b w:val="0"/>
                <w:bCs w:val="0"/>
                <w:szCs w:val="28"/>
              </w:rPr>
              <w:t>铺部分二层</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进贤支行营业网点</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揭阳市榕城区进贤门大道西段北侧</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榕城支行营业网点</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揭阳市榕城区进贤门大道中段</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榕东支行营业网点</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揭阳市榕东区东湖路以东福东路以北金凤地苑11号铺</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空港支行营业网点</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揭阳市空港经济区鱼湖镇前街镇政府前侧A棟03-07号</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仙桥支行营业网点</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揭阳市榕城区仙桥4号路口</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东升支行营业网点</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揭阳市临江北路揭阳市机关大院8号楼一楼东侧</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江南新城支行营业网点</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揭阳市榕城区临江南路以南榕华大道以东江南新城一期商铺30号首层</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14</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揭东支行营业网点</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揭阳市揭东区曲溪金溪大道中段一楼</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炮台支行营业网点</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揭阳市空港经济区炮台镇光裕路9号第一层</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锡场支行营业网点</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揭阳市揭东区锡场镇锡西村裕昌办公室8楼至12号一层商铺</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17</w:t>
            </w: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普宁市区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普宁支行营业网点</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普宁市流沙南平里39-40栋</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流沙西支行营业网点</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普宁市流沙原粮仓改建西侧单栋A棟东起第2-6号1-2层</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19</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流沙东支行营业网点</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普宁市流沙东街道新坛村东起第2-5间商铺</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新光支行营业网点</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普宁市流沙新光路中段</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21</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长春支行营业网点</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普宁市流沙北长春路正华园大门南侧北起第13、14、15、16间1-2层</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22</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华府支行营业网点</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普宁市新河东路以东/环市北路以南中信华府13栋106号</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23</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流沙南支行营业网点</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普宁市揭神路东侧普宁中药材专业市场第40栋101至102号商铺一二层</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24</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占陇支行营业网点</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普宁市占陇镇镇区广汕公路南侧</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w:t>
            </w: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揭西县</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揭西支行营业网点</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揭西县河婆镇霖都大道一楼</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26</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棉湖支行营业网点</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揭西县棉湖镇岭顶兴华路南测棉湖龙都宾馆右侧裙楼</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27</w:t>
            </w: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惠来县</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惠来支行营业网点</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惠来县南环一路南侧南门大街西侧交叉处金碧家园12-17号商铺</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28</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大南海石化支行营业网点</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揭阳市大南海石化工业区寰球公司生活区B区北栋东侧</w:t>
            </w:r>
          </w:p>
        </w:tc>
      </w:tr>
      <w:tr>
        <w:tblPrEx>
          <w:tblCellMar>
            <w:top w:w="0" w:type="dxa"/>
            <w:left w:w="108" w:type="dxa"/>
            <w:bottom w:w="0" w:type="dxa"/>
            <w:right w:w="108" w:type="dxa"/>
          </w:tblCellMar>
        </w:tblPrEx>
        <w:trPr>
          <w:trHeight w:val="550" w:hRule="atLeast"/>
        </w:trPr>
        <w:tc>
          <w:tcPr>
            <w:tcW w:w="8410" w:type="dxa"/>
            <w:gridSpan w:val="6"/>
            <w:tcBorders>
              <w:top w:val="nil"/>
              <w:left w:val="nil"/>
              <w:bottom w:val="nil"/>
              <w:right w:val="nil"/>
            </w:tcBorders>
            <w:shd w:val="clear" w:color="auto" w:fill="auto"/>
            <w:noWrap/>
            <w:vAlign w:val="center"/>
          </w:tcPr>
          <w:p>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lang w:bidi="ar"/>
              </w:rPr>
              <w:t>全辖区离行式自助设备</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揭阳市区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潮汕机场自助银行</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揭阳潮汕机场候机楼</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val="en-US" w:eastAsia="zh-CN" w:bidi="ar"/>
              </w:rPr>
              <w:t>2</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临江北自助银行</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揭阳市榕城区新河路以东临江北路以南东升办事处办公住宅楼B棟一层</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3</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揭阳监狱自助银行</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揭东县玉窖镇揭阳监狱员工住宅区门房左侧</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4</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紫麟城自助银行</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揭东区人民大道西侧广场东侧中兴紫麟城S04间商铺</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val="en-US" w:eastAsia="zh-CN" w:bidi="ar"/>
              </w:rPr>
              <w:t>5</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揭阳学院自助银行</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榕城区仙桥紫峰山下揭阳职业技术学院内图书馆楼下</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val="en-US" w:eastAsia="zh-CN" w:bidi="ar"/>
              </w:rPr>
              <w:t>6</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综合中等专业学校自助银行</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综合中等专业学校</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val="en-US" w:eastAsia="zh-CN" w:bidi="ar"/>
              </w:rPr>
              <w:t>7</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揭西县</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河婆新城自助银行</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揭西县河婆街道溪角村新城路集体第一栋33-34号</w:t>
            </w:r>
          </w:p>
        </w:tc>
      </w:tr>
      <w:tr>
        <w:tblPrEx>
          <w:tblCellMar>
            <w:top w:w="0" w:type="dxa"/>
            <w:left w:w="108" w:type="dxa"/>
            <w:bottom w:w="0" w:type="dxa"/>
            <w:right w:w="108" w:type="dxa"/>
          </w:tblCellMar>
        </w:tblPrEx>
        <w:trPr>
          <w:trHeight w:val="364"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val="en-US" w:eastAsia="zh-CN" w:bidi="ar"/>
              </w:rPr>
              <w:t>8</w:t>
            </w: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惠来县</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惠来祚通自助银行</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惠来县公路局局址大门东侧</w:t>
            </w:r>
          </w:p>
        </w:tc>
      </w:tr>
      <w:tr>
        <w:tblPrEx>
          <w:tblCellMar>
            <w:top w:w="0" w:type="dxa"/>
            <w:left w:w="108" w:type="dxa"/>
            <w:bottom w:w="0" w:type="dxa"/>
            <w:right w:w="108" w:type="dxa"/>
          </w:tblCellMar>
        </w:tblPrEx>
        <w:trPr>
          <w:trHeight w:val="429" w:hRule="atLeast"/>
        </w:trPr>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val="en-US" w:eastAsia="zh-CN" w:bidi="ar"/>
              </w:rPr>
              <w:t>9</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惠来惠西自助银行</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惠来县惠城镇揭神路葵梅园首层铺面第15-16号</w:t>
            </w:r>
          </w:p>
        </w:tc>
      </w:tr>
    </w:tbl>
    <w:p/>
    <w:p>
      <w:pPr>
        <w:spacing w:line="560" w:lineRule="atLeast"/>
        <w:ind w:right="-1331" w:rightChars="-634" w:firstLine="640" w:firstLineChars="200"/>
        <w:rPr>
          <w:rFonts w:ascii="彩虹粗仿宋" w:hAnsi="宋体" w:eastAsia="彩虹粗仿宋"/>
          <w:sz w:val="32"/>
          <w:szCs w:val="32"/>
        </w:rPr>
      </w:pPr>
      <w:r>
        <w:rPr>
          <w:rFonts w:hint="eastAsia" w:ascii="彩虹粗仿宋" w:hAnsi="宋体" w:eastAsia="彩虹粗仿宋"/>
          <w:sz w:val="32"/>
          <w:szCs w:val="32"/>
        </w:rPr>
        <w:t>二、款项支付要求</w:t>
      </w:r>
    </w:p>
    <w:p>
      <w:pPr>
        <w:spacing w:line="560" w:lineRule="atLeast"/>
        <w:ind w:firstLine="640" w:firstLineChars="200"/>
        <w:rPr>
          <w:rFonts w:ascii="彩虹粗仿宋" w:hAnsi="宋体" w:eastAsia="彩虹粗仿宋"/>
          <w:sz w:val="32"/>
          <w:szCs w:val="32"/>
        </w:rPr>
      </w:pPr>
      <w:r>
        <w:rPr>
          <w:rFonts w:hint="eastAsia" w:ascii="彩虹粗仿宋" w:hAnsi="宋体" w:eastAsia="彩虹粗仿宋"/>
          <w:sz w:val="32"/>
          <w:szCs w:val="32"/>
        </w:rPr>
        <w:t>按月支付服务费，以人民币结算及支付，入选供应商在每个月结束后的5个工作日向采购人提供对账单及巡检报告，采购人在收到入选供应商对账单后，10个工作日内进行核对，并对入选供应商提供的服务质量验收合格后，入选供应商为采购人提供有效的增值税专用发票。采购人在收到入选供应商提交的发票后，30个工作日内以银行转账方式支付服务费用给入选供应商。（具体合同约定为准）</w:t>
      </w:r>
    </w:p>
    <w:p>
      <w:pPr>
        <w:spacing w:line="560" w:lineRule="atLeast"/>
        <w:ind w:firstLine="640" w:firstLineChars="200"/>
        <w:rPr>
          <w:rFonts w:ascii="彩虹粗仿宋" w:hAnsi="宋体" w:eastAsia="彩虹粗仿宋"/>
          <w:sz w:val="32"/>
          <w:szCs w:val="32"/>
        </w:rPr>
      </w:pPr>
      <w:r>
        <w:rPr>
          <w:rFonts w:hint="eastAsia" w:ascii="彩虹粗仿宋" w:hAnsi="宋体" w:eastAsia="彩虹粗仿宋"/>
          <w:sz w:val="32"/>
          <w:szCs w:val="32"/>
        </w:rPr>
        <w:t>三、报价要求</w:t>
      </w:r>
    </w:p>
    <w:p>
      <w:pPr>
        <w:spacing w:line="560" w:lineRule="atLeast"/>
        <w:ind w:firstLine="640" w:firstLineChars="200"/>
        <w:rPr>
          <w:rFonts w:ascii="彩虹粗仿宋" w:hAnsi="宋体" w:eastAsia="彩虹粗仿宋"/>
          <w:sz w:val="32"/>
          <w:szCs w:val="32"/>
        </w:rPr>
      </w:pPr>
      <w:r>
        <w:rPr>
          <w:rFonts w:hint="eastAsia" w:ascii="彩虹粗仿宋" w:hAnsi="宋体" w:eastAsia="彩虹粗仿宋"/>
          <w:sz w:val="32"/>
          <w:szCs w:val="32"/>
        </w:rPr>
        <w:t>谈判供应商应按照自身的服务报价核定费用，本次报价为综合报价，应为包含各项费用的增值税专用发票报价，如在维护保养过程中产生报价外的其他费用，由入选供应商自行承担。</w:t>
      </w:r>
    </w:p>
    <w:p>
      <w:pPr>
        <w:spacing w:line="560" w:lineRule="atLeast"/>
        <w:ind w:firstLine="640" w:firstLineChars="200"/>
        <w:rPr>
          <w:rFonts w:ascii="彩虹粗仿宋" w:hAnsi="宋体" w:eastAsia="彩虹粗仿宋"/>
          <w:sz w:val="32"/>
          <w:szCs w:val="32"/>
        </w:rPr>
      </w:pPr>
      <w:r>
        <w:rPr>
          <w:rFonts w:hint="eastAsia" w:ascii="彩虹粗仿宋" w:hAnsi="宋体" w:eastAsia="彩虹粗仿宋"/>
          <w:sz w:val="32"/>
          <w:szCs w:val="32"/>
        </w:rPr>
        <w:t>四、知识产权</w:t>
      </w:r>
    </w:p>
    <w:p>
      <w:pPr>
        <w:spacing w:line="560" w:lineRule="atLeast"/>
        <w:ind w:firstLine="640" w:firstLineChars="200"/>
        <w:rPr>
          <w:rFonts w:ascii="彩虹粗仿宋" w:hAnsi="宋体" w:eastAsia="彩虹粗仿宋"/>
          <w:sz w:val="32"/>
          <w:szCs w:val="32"/>
        </w:rPr>
      </w:pPr>
      <w:r>
        <w:rPr>
          <w:rFonts w:hint="eastAsia" w:ascii="彩虹粗仿宋" w:hAnsi="宋体" w:eastAsia="彩虹粗仿宋"/>
          <w:sz w:val="32"/>
          <w:szCs w:val="32"/>
        </w:rPr>
        <w:t>（一）入选供应商应保证本项目的货物或服务或其任何一部分不会产生因第三方提出侵犯其专利权、商标权或其他知识产权而引起的法律和经济纠纷，如因第三方提出其专利权、商标权或其他知识产权的侵权之诉，则一切法律责任由入选供应商承担，并承担因侵权给采购人造成的一切损失。</w:t>
      </w:r>
    </w:p>
    <w:p>
      <w:pPr>
        <w:spacing w:line="560" w:lineRule="atLeast"/>
        <w:ind w:firstLine="640" w:firstLineChars="200"/>
        <w:rPr>
          <w:rFonts w:ascii="彩虹粗仿宋" w:hAnsi="宋体" w:eastAsia="彩虹粗仿宋"/>
          <w:sz w:val="32"/>
          <w:szCs w:val="32"/>
        </w:rPr>
      </w:pPr>
      <w:r>
        <w:rPr>
          <w:rFonts w:hint="eastAsia" w:ascii="彩虹粗仿宋" w:hAnsi="宋体" w:eastAsia="彩虹粗仿宋"/>
          <w:sz w:val="32"/>
          <w:szCs w:val="32"/>
        </w:rPr>
        <w:t>（二）最终确定的采购合同价格包括所有应支付的对专利权和版权、设计或其他知识产权而须要向其他方支付的相关费用。</w:t>
      </w:r>
    </w:p>
    <w:p>
      <w:pPr>
        <w:spacing w:line="560" w:lineRule="atLeast"/>
        <w:ind w:firstLine="640" w:firstLineChars="200"/>
        <w:rPr>
          <w:rFonts w:ascii="彩虹粗仿宋" w:hAnsi="宋体" w:eastAsia="彩虹粗仿宋"/>
          <w:sz w:val="32"/>
          <w:szCs w:val="32"/>
        </w:rPr>
      </w:pPr>
      <w:r>
        <w:rPr>
          <w:rFonts w:hint="eastAsia" w:ascii="彩虹粗仿宋" w:hAnsi="宋体" w:eastAsia="彩虹粗仿宋"/>
          <w:sz w:val="32"/>
          <w:szCs w:val="32"/>
        </w:rPr>
        <w:t>（三）入选供应商不拥有相应的知识产权的，则在报价中必须包括有合法获取该知识产权的相关费用，否则，由此而产生的一切法律和经济纠纷由入选供应商承担责任。</w:t>
      </w:r>
    </w:p>
    <w:p>
      <w:pPr>
        <w:spacing w:line="560" w:lineRule="atLeast"/>
        <w:ind w:firstLine="640" w:firstLineChars="200"/>
        <w:rPr>
          <w:rFonts w:ascii="彩虹粗仿宋" w:hAnsi="宋体" w:eastAsia="彩虹粗仿宋"/>
          <w:sz w:val="32"/>
          <w:szCs w:val="32"/>
        </w:rPr>
      </w:pPr>
      <w:r>
        <w:rPr>
          <w:rFonts w:hint="eastAsia" w:ascii="彩虹粗仿宋" w:hAnsi="宋体" w:eastAsia="彩虹粗仿宋"/>
          <w:sz w:val="32"/>
          <w:szCs w:val="32"/>
        </w:rPr>
        <w:t>五、保密要求</w:t>
      </w:r>
    </w:p>
    <w:p>
      <w:pPr>
        <w:spacing w:line="560" w:lineRule="atLeast"/>
        <w:ind w:firstLine="640" w:firstLineChars="200"/>
        <w:rPr>
          <w:rFonts w:ascii="彩虹粗仿宋" w:hAnsi="宋体" w:eastAsia="彩虹粗仿宋"/>
          <w:sz w:val="32"/>
          <w:szCs w:val="32"/>
        </w:rPr>
      </w:pPr>
      <w:r>
        <w:rPr>
          <w:rFonts w:hint="eastAsia" w:ascii="彩虹粗仿宋" w:hAnsi="宋体" w:eastAsia="彩虹粗仿宋"/>
          <w:sz w:val="32"/>
          <w:szCs w:val="32"/>
        </w:rPr>
        <w:t>保证在项目履行过程中知悉或获得的所有有关的商业秘密、客户资料等信息（即“保密信息”）予以保密。包括保证对在服务过程中获知的企业信息、客户信息等，无论在服务期间或服务结束后，均予以保密；保证不得向第三方谈论采购人的客户以及与本邀请函和协议有关的其他信息。</w:t>
      </w:r>
    </w:p>
    <w:p>
      <w:pPr>
        <w:spacing w:line="560" w:lineRule="atLeast"/>
        <w:ind w:firstLine="640" w:firstLineChars="200"/>
        <w:rPr>
          <w:rFonts w:ascii="彩虹粗仿宋" w:hAnsi="宋体" w:eastAsia="彩虹粗仿宋"/>
          <w:sz w:val="32"/>
          <w:szCs w:val="32"/>
        </w:rPr>
      </w:pPr>
      <w:r>
        <w:rPr>
          <w:rFonts w:hint="eastAsia" w:ascii="彩虹粗仿宋" w:hAnsi="宋体" w:eastAsia="彩虹粗仿宋"/>
          <w:sz w:val="32"/>
          <w:szCs w:val="32"/>
        </w:rPr>
        <w:t>六、权利义务转让</w:t>
      </w:r>
    </w:p>
    <w:p>
      <w:pPr>
        <w:spacing w:line="560" w:lineRule="atLeast"/>
        <w:ind w:firstLine="640" w:firstLineChars="200"/>
        <w:rPr>
          <w:rFonts w:ascii="彩虹粗仿宋" w:hAnsi="宋体" w:eastAsia="彩虹粗仿宋"/>
          <w:sz w:val="32"/>
          <w:szCs w:val="32"/>
        </w:rPr>
      </w:pPr>
      <w:r>
        <w:rPr>
          <w:rFonts w:hint="eastAsia" w:ascii="彩虹粗仿宋" w:hAnsi="宋体" w:eastAsia="彩虹粗仿宋"/>
          <w:sz w:val="32"/>
          <w:szCs w:val="32"/>
        </w:rPr>
        <w:t>入选供应商应按合同约定提供货物和服务，不得转包、分包，否则采购人有权单方面终止合同，项目另行处理，入选供应商承担由此造成的经济损失。</w:t>
      </w:r>
    </w:p>
    <w:p>
      <w:pPr>
        <w:spacing w:line="560" w:lineRule="atLeast"/>
        <w:ind w:firstLine="640" w:firstLineChars="200"/>
        <w:rPr>
          <w:rFonts w:ascii="彩虹粗仿宋" w:hAnsi="宋体" w:eastAsia="彩虹粗仿宋"/>
          <w:sz w:val="32"/>
          <w:szCs w:val="32"/>
        </w:rPr>
      </w:pPr>
      <w:r>
        <w:rPr>
          <w:rFonts w:hint="eastAsia" w:ascii="彩虹粗仿宋" w:hAnsi="宋体" w:eastAsia="彩虹粗仿宋"/>
          <w:sz w:val="32"/>
          <w:szCs w:val="32"/>
        </w:rPr>
        <w:t>七、其他约定</w:t>
      </w:r>
    </w:p>
    <w:p>
      <w:pPr>
        <w:spacing w:line="560" w:lineRule="atLeast"/>
        <w:ind w:firstLine="640" w:firstLineChars="200"/>
        <w:rPr>
          <w:rFonts w:ascii="彩虹粗仿宋" w:hAnsi="宋体" w:eastAsia="彩虹粗仿宋"/>
          <w:sz w:val="32"/>
          <w:szCs w:val="32"/>
        </w:rPr>
      </w:pPr>
      <w:r>
        <w:rPr>
          <w:rFonts w:hint="eastAsia" w:ascii="彩虹粗仿宋" w:hAnsi="宋体" w:eastAsia="彩虹粗仿宋"/>
          <w:sz w:val="32"/>
          <w:szCs w:val="32"/>
        </w:rPr>
        <w:t>（一）为保证采购人业务的连续性，入选供应商必须确保能够按采购人要求安排足够服务人员正常开展工作，如因入选供应商工作衔接不当，影响采购人正常工作开展，采购人有权解约、另行安排其它供应商。</w:t>
      </w:r>
    </w:p>
    <w:p>
      <w:pPr>
        <w:spacing w:line="560" w:lineRule="atLeast"/>
        <w:ind w:firstLine="640" w:firstLineChars="200"/>
        <w:rPr>
          <w:rFonts w:ascii="彩虹粗仿宋" w:hAnsi="宋体" w:eastAsia="彩虹粗仿宋"/>
          <w:sz w:val="32"/>
          <w:szCs w:val="32"/>
        </w:rPr>
      </w:pPr>
      <w:r>
        <w:rPr>
          <w:rFonts w:hint="eastAsia" w:ascii="彩虹粗仿宋" w:hAnsi="宋体" w:eastAsia="彩虹粗仿宋"/>
          <w:sz w:val="32"/>
          <w:szCs w:val="32"/>
        </w:rPr>
        <w:t>（二）本项目服务人员的劳动关系隶属供应商，供应商必须与其雇佣的劳动者订立劳动合同。供应商应向员工清晰解读单位人事、薪酬、休假等各项管理规定，并做好员工的解释工作。供应商承担本项目服务人员的工资、福利、奖金、保险等相关法定责任和义务。与服务人员发生任何的经济纠纷、劳动纠纷、法律纠纷和人身损害赔偿纠纷等，由供应商自行解决；供应商服务人员的人身安全责任由供应商承担。</w:t>
      </w:r>
    </w:p>
    <w:p>
      <w:pPr>
        <w:spacing w:line="560" w:lineRule="atLeast"/>
        <w:ind w:firstLine="640" w:firstLineChars="200"/>
        <w:rPr>
          <w:rFonts w:ascii="彩虹粗仿宋" w:hAnsi="宋体" w:eastAsia="彩虹粗仿宋"/>
          <w:sz w:val="32"/>
          <w:szCs w:val="32"/>
        </w:rPr>
      </w:pPr>
      <w:r>
        <w:rPr>
          <w:rFonts w:hint="eastAsia" w:ascii="彩虹粗仿宋" w:hAnsi="宋体" w:eastAsia="彩虹粗仿宋"/>
          <w:sz w:val="32"/>
          <w:szCs w:val="32"/>
        </w:rPr>
        <w:t>（三）供应商必须保守采购人的商业秘密，供应商服务人员不得泄漏、披露、使用其知悉的采购人及其客户的所有信息资料，不得携带移动存储设备进入工作区，不得通过纸质和电子媒介打印、下载、摄像并外携任何采购人资料信息，否则供应商应对此承担法律责任。</w:t>
      </w:r>
    </w:p>
    <w:p>
      <w:pPr>
        <w:spacing w:line="560" w:lineRule="atLeast"/>
        <w:ind w:firstLine="640" w:firstLineChars="200"/>
        <w:rPr>
          <w:rFonts w:ascii="彩虹粗仿宋" w:hAnsi="宋体" w:eastAsia="彩虹粗仿宋"/>
          <w:sz w:val="32"/>
          <w:szCs w:val="32"/>
        </w:rPr>
      </w:pPr>
      <w:r>
        <w:rPr>
          <w:rFonts w:hint="eastAsia" w:ascii="彩虹粗仿宋" w:hAnsi="宋体" w:eastAsia="彩虹粗仿宋"/>
          <w:sz w:val="32"/>
          <w:szCs w:val="32"/>
        </w:rPr>
        <w:t>（四）供应商必须建立应急预案，做好出现异常情况下的预防措施。</w:t>
      </w:r>
    </w:p>
    <w:p>
      <w:pPr>
        <w:spacing w:line="560" w:lineRule="atLeast"/>
        <w:ind w:firstLine="640" w:firstLineChars="200"/>
        <w:rPr>
          <w:rFonts w:ascii="彩虹粗仿宋" w:hAnsi="宋体" w:eastAsia="彩虹粗仿宋"/>
          <w:sz w:val="32"/>
          <w:szCs w:val="32"/>
        </w:rPr>
      </w:pPr>
      <w:r>
        <w:rPr>
          <w:rFonts w:hint="eastAsia" w:ascii="彩虹粗仿宋" w:hAnsi="宋体" w:eastAsia="彩虹粗仿宋"/>
          <w:sz w:val="32"/>
          <w:szCs w:val="32"/>
        </w:rPr>
        <w:t>（五）供应商职员按规定在采购人场所从事服务工作期间,导致自身或他人遭受人身损害或财产损失的,均全部由供应商负责。采购人若因此遭受第三方追索的，采购人有权向供应商追偿,并有权要求供应商赔偿因此所遭受的其他相关损失（包括但不限于采购人因主张权利时所发生的诉讼费、律师费、鉴定费、评估费、邮递费等）。</w:t>
      </w:r>
    </w:p>
    <w:p>
      <w:pPr>
        <w:spacing w:line="560" w:lineRule="atLeast"/>
        <w:ind w:firstLine="640" w:firstLineChars="200"/>
        <w:rPr>
          <w:rFonts w:ascii="彩虹粗仿宋" w:hAnsi="宋体" w:eastAsia="彩虹粗仿宋"/>
          <w:sz w:val="32"/>
          <w:szCs w:val="32"/>
        </w:rPr>
      </w:pPr>
      <w:r>
        <w:rPr>
          <w:rFonts w:hint="eastAsia" w:ascii="彩虹粗仿宋" w:hAnsi="宋体" w:eastAsia="彩虹粗仿宋"/>
          <w:sz w:val="32"/>
          <w:szCs w:val="32"/>
        </w:rPr>
        <w:t>八、合同</w:t>
      </w:r>
    </w:p>
    <w:p>
      <w:pPr>
        <w:spacing w:line="560" w:lineRule="atLeast"/>
        <w:rPr>
          <w:rFonts w:hint="eastAsia" w:eastAsiaTheme="minorEastAsia"/>
          <w:sz w:val="32"/>
          <w:szCs w:val="32"/>
          <w:lang w:eastAsia="zh-CN"/>
        </w:rPr>
      </w:pPr>
      <w:r>
        <w:rPr>
          <w:rFonts w:hint="eastAsia" w:ascii="彩虹粗仿宋" w:hAnsi="宋体" w:eastAsia="彩虹粗仿宋"/>
          <w:sz w:val="32"/>
          <w:szCs w:val="32"/>
        </w:rPr>
        <w:t>合同采用采购人的合同文本格式。</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人口信息-P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粗仿宋">
    <w:panose1 w:val="03000509000000000000"/>
    <w:charset w:val="86"/>
    <w:family w:val="script"/>
    <w:pitch w:val="default"/>
    <w:sig w:usb0="00000001" w:usb1="080E0000" w:usb2="00000000" w:usb3="00000000" w:csb0="00040000" w:csb1="00000000"/>
  </w:font>
  <w:font w:name="方正宋体-人口信息-P2">
    <w:panose1 w:val="03000509000000000000"/>
    <w:charset w:val="86"/>
    <w:family w:val="auto"/>
    <w:pitch w:val="default"/>
    <w:sig w:usb0="10002003" w:usb1="BB1E0800" w:usb2="000A004E" w:usb3="00000000" w:csb0="003C0041" w:csb1="A00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34"/>
    <w:rsid w:val="000206E5"/>
    <w:rsid w:val="00123FAE"/>
    <w:rsid w:val="00AB58BF"/>
    <w:rsid w:val="00E52834"/>
    <w:rsid w:val="00EB529C"/>
    <w:rsid w:val="5FF758B3"/>
    <w:rsid w:val="7676F20E"/>
    <w:rsid w:val="9F7FA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12</Words>
  <Characters>75</Characters>
  <Lines>1</Lines>
  <Paragraphs>1</Paragraphs>
  <TotalTime>21</TotalTime>
  <ScaleCrop>false</ScaleCrop>
  <LinksUpToDate>false</LinksUpToDate>
  <CharactersWithSpaces>86</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2023-11-17T17:15:00Z</dcterms:created>
  <dc:creator>供应商管理科</dc:creator>
  <cp:lastModifiedBy>ccb</cp:lastModifiedBy>
  <dcterms:modified xsi:type="dcterms:W3CDTF">2026-05-20T16:00:31Z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45134B81E9B9FBFBAF620D6A0B36E324_42</vt:lpwstr>
  </property>
</Properties>
</file>